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804267080"/>
        <w:docPartObj>
          <w:docPartGallery w:val="Cover Pages"/>
          <w:docPartUnique/>
        </w:docPartObj>
      </w:sdtPr>
      <w:sdtEndPr>
        <w:rPr>
          <w:rFonts w:asciiTheme="minorHAnsi" w:hAnsiTheme="minorHAnsi" w:cstheme="minorHAnsi"/>
        </w:rPr>
      </w:sdtEndPr>
      <w:sdtContent>
        <w:p w14:paraId="614C3FBF" w14:textId="77777777" w:rsidR="00483B56" w:rsidRDefault="00483B56"/>
        <w:p w14:paraId="614C3FC0" w14:textId="77777777" w:rsidR="00483B56" w:rsidRDefault="00483B56"/>
        <w:p w14:paraId="614C3FC1" w14:textId="77777777" w:rsidR="00483B56" w:rsidRDefault="00483B56"/>
        <w:p w14:paraId="614C3FC2" w14:textId="77777777" w:rsidR="00AD7820" w:rsidRPr="00B831EB" w:rsidRDefault="00483B56" w:rsidP="001A25D1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58240" behindDoc="0" locked="0" layoutInCell="1" allowOverlap="1" wp14:anchorId="614C403F" wp14:editId="614C4040">
                    <wp:simplePos x="0" y="0"/>
                    <wp:positionH relativeFrom="page">
                      <wp:posOffset>1358900</wp:posOffset>
                    </wp:positionH>
                    <wp:positionV relativeFrom="page">
                      <wp:posOffset>5772150</wp:posOffset>
                    </wp:positionV>
                    <wp:extent cx="4670425" cy="1009650"/>
                    <wp:effectExtent l="0" t="0" r="0" b="0"/>
                    <wp:wrapSquare wrapText="bothSides"/>
                    <wp:docPr id="3" name="Cuadro de texto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670425" cy="1009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14C4057" w14:textId="0774EE9C" w:rsidR="00483B56" w:rsidRPr="00483B56" w:rsidRDefault="0004375A" w:rsidP="00483B56">
                                <w:pPr>
                                  <w:pStyle w:val="Sinespaciado"/>
                                  <w:spacing w:before="40" w:after="560" w:line="216" w:lineRule="auto"/>
                                  <w:jc w:val="center"/>
                                  <w:rPr>
                                    <w:b/>
                                    <w:color w:val="5B9BD5"/>
                                    <w:sz w:val="48"/>
                                    <w:szCs w:val="48"/>
                                    <w:u w:val="single"/>
                                  </w:rPr>
                                </w:pPr>
                                <w:r>
                                  <w:rPr>
                                    <w:b/>
                                    <w:sz w:val="48"/>
                                    <w:szCs w:val="48"/>
                                    <w:u w:val="single"/>
                                  </w:rPr>
                                  <w:t>Información de Irregularidades y Protección de los Informantes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14C403F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3" o:spid="_x0000_s1026" type="#_x0000_t202" style="position:absolute;margin-left:107pt;margin-top:454.5pt;width:367.75pt;height:79.5pt;z-index:251658240;visibility:visible;mso-wrap-style:square;mso-width-percent:0;mso-height-percent:0;mso-wrap-distance-left:14.4pt;mso-wrap-distance-top:0;mso-wrap-distance-right:14.4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" filled="f" stroked="f" strokeweight=".5pt">
                    <v:textbox inset="0,0,0,0">
                      <w:txbxContent>
                        <w:p w14:paraId="614C4057" w14:textId="0774EE9C" w:rsidR="00483B56" w:rsidRPr="00483B56" w:rsidRDefault="0004375A" w:rsidP="00483B56">
                          <w:pPr>
                            <w:pStyle w:val="Sinespaciado"/>
                            <w:spacing w:before="40" w:after="560" w:line="216" w:lineRule="auto"/>
                            <w:jc w:val="center"/>
                            <w:rPr>
                              <w:b/>
                              <w:color w:val="5B9BD5"/>
                              <w:sz w:val="48"/>
                              <w:szCs w:val="48"/>
                              <w:u w:val="single"/>
                            </w:rPr>
                          </w:pPr>
                          <w:r>
                            <w:rPr>
                              <w:b/>
                              <w:sz w:val="48"/>
                              <w:szCs w:val="48"/>
                              <w:u w:val="single"/>
                            </w:rPr>
                            <w:t>Información de Irregularidades y Protección de los Informantes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</w:sdtContent>
    </w:sdt>
    <w:p w14:paraId="614C3FC3" w14:textId="77777777" w:rsidR="00B831EB" w:rsidRDefault="00B831EB">
      <w:pPr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br w:type="page"/>
      </w:r>
    </w:p>
    <w:p w14:paraId="614C3FC4" w14:textId="77777777" w:rsidR="00B831EB" w:rsidRDefault="00B831EB">
      <w:pPr>
        <w:rPr>
          <w:rFonts w:asciiTheme="minorHAnsi" w:hAnsiTheme="minorHAnsi" w:cstheme="minorHAnsi"/>
          <w:sz w:val="24"/>
        </w:rPr>
      </w:pPr>
    </w:p>
    <w:p w14:paraId="614C3FC5" w14:textId="77777777" w:rsidR="00B831EB" w:rsidRDefault="00B831EB">
      <w:pPr>
        <w:rPr>
          <w:rFonts w:asciiTheme="minorHAnsi" w:hAnsiTheme="minorHAnsi" w:cstheme="minorHAnsi"/>
          <w:sz w:val="24"/>
        </w:rPr>
      </w:pPr>
    </w:p>
    <w:tbl>
      <w:tblPr>
        <w:tblpPr w:leftFromText="142" w:rightFromText="142" w:vertAnchor="text" w:horzAnchor="margin" w:tblpY="664"/>
        <w:tblW w:w="9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1227"/>
        <w:gridCol w:w="1515"/>
        <w:gridCol w:w="2073"/>
        <w:gridCol w:w="4506"/>
      </w:tblGrid>
      <w:tr w:rsidR="007C0A7D" w:rsidRPr="00480387" w14:paraId="614C3FCA" w14:textId="77777777" w:rsidTr="001C1945">
        <w:trPr>
          <w:trHeight w:val="417"/>
          <w:tblHeader/>
        </w:trPr>
        <w:tc>
          <w:tcPr>
            <w:tcW w:w="1227" w:type="dxa"/>
            <w:shd w:val="clear" w:color="auto" w:fill="000000" w:themeFill="text1"/>
            <w:vAlign w:val="center"/>
          </w:tcPr>
          <w:p w14:paraId="614C3FC6" w14:textId="77777777" w:rsidR="00B831EB" w:rsidRPr="00B85477" w:rsidRDefault="00B831EB" w:rsidP="007C0A7D">
            <w:pPr>
              <w:spacing w:after="200"/>
              <w:jc w:val="center"/>
              <w:rPr>
                <w:rFonts w:asciiTheme="minorHAnsi" w:eastAsia="Montserrat" w:hAnsiTheme="minorHAnsi" w:cstheme="minorHAnsi"/>
                <w:b/>
                <w:sz w:val="24"/>
              </w:rPr>
            </w:pPr>
            <w:r>
              <w:rPr>
                <w:rFonts w:asciiTheme="minorHAnsi" w:eastAsia="Montserrat" w:hAnsiTheme="minorHAnsi" w:cstheme="minorHAnsi"/>
                <w:b/>
                <w:sz w:val="24"/>
              </w:rPr>
              <w:t>Versión/</w:t>
            </w:r>
            <w:r w:rsidR="007C0A7D">
              <w:rPr>
                <w:rFonts w:asciiTheme="minorHAnsi" w:eastAsia="Montserrat" w:hAnsiTheme="minorHAnsi" w:cstheme="minorHAnsi"/>
                <w:b/>
                <w:sz w:val="24"/>
              </w:rPr>
              <w:t xml:space="preserve"> </w:t>
            </w:r>
            <w:r>
              <w:rPr>
                <w:rFonts w:asciiTheme="minorHAnsi" w:eastAsia="Montserrat" w:hAnsiTheme="minorHAnsi" w:cstheme="minorHAnsi"/>
                <w:b/>
                <w:sz w:val="24"/>
              </w:rPr>
              <w:t>Revisión</w:t>
            </w:r>
          </w:p>
        </w:tc>
        <w:tc>
          <w:tcPr>
            <w:tcW w:w="1515" w:type="dxa"/>
            <w:shd w:val="clear" w:color="auto" w:fill="000000" w:themeFill="text1"/>
          </w:tcPr>
          <w:p w14:paraId="614C3FC7" w14:textId="77777777" w:rsidR="00B831EB" w:rsidRPr="00B85477" w:rsidRDefault="00B831EB" w:rsidP="007C0A7D">
            <w:pPr>
              <w:spacing w:after="200"/>
              <w:jc w:val="center"/>
              <w:rPr>
                <w:rFonts w:asciiTheme="minorHAnsi" w:eastAsia="Montserrat" w:hAnsiTheme="minorHAnsi" w:cstheme="minorHAnsi"/>
                <w:b/>
                <w:sz w:val="24"/>
              </w:rPr>
            </w:pPr>
            <w:r>
              <w:rPr>
                <w:rFonts w:asciiTheme="minorHAnsi" w:eastAsia="Montserrat" w:hAnsiTheme="minorHAnsi" w:cstheme="minorHAnsi"/>
                <w:b/>
                <w:sz w:val="24"/>
              </w:rPr>
              <w:t>Fecha actualización</w:t>
            </w:r>
          </w:p>
        </w:tc>
        <w:tc>
          <w:tcPr>
            <w:tcW w:w="2073" w:type="dxa"/>
            <w:shd w:val="clear" w:color="auto" w:fill="000000" w:themeFill="text1"/>
          </w:tcPr>
          <w:p w14:paraId="614C3FC8" w14:textId="77777777" w:rsidR="00B831EB" w:rsidRPr="00B85477" w:rsidRDefault="00B831EB" w:rsidP="007C0A7D">
            <w:pPr>
              <w:spacing w:after="200"/>
              <w:jc w:val="center"/>
              <w:rPr>
                <w:rFonts w:asciiTheme="minorHAnsi" w:eastAsia="Montserrat" w:hAnsiTheme="minorHAnsi" w:cstheme="minorHAnsi"/>
                <w:b/>
                <w:sz w:val="24"/>
              </w:rPr>
            </w:pPr>
            <w:r>
              <w:rPr>
                <w:rFonts w:asciiTheme="minorHAnsi" w:eastAsia="Montserrat" w:hAnsiTheme="minorHAnsi" w:cstheme="minorHAnsi"/>
                <w:b/>
                <w:sz w:val="24"/>
              </w:rPr>
              <w:t>Revisado por</w:t>
            </w:r>
          </w:p>
        </w:tc>
        <w:tc>
          <w:tcPr>
            <w:tcW w:w="4506" w:type="dxa"/>
            <w:shd w:val="clear" w:color="auto" w:fill="000000" w:themeFill="text1"/>
          </w:tcPr>
          <w:p w14:paraId="614C3FC9" w14:textId="77777777" w:rsidR="00B831EB" w:rsidRPr="00B85477" w:rsidRDefault="00B831EB" w:rsidP="007C0A7D">
            <w:pPr>
              <w:spacing w:after="200"/>
              <w:jc w:val="center"/>
              <w:rPr>
                <w:rFonts w:asciiTheme="minorHAnsi" w:eastAsia="Montserrat" w:hAnsiTheme="minorHAnsi" w:cstheme="minorHAnsi"/>
                <w:b/>
                <w:sz w:val="24"/>
              </w:rPr>
            </w:pPr>
            <w:r>
              <w:rPr>
                <w:rFonts w:asciiTheme="minorHAnsi" w:eastAsia="Montserrat" w:hAnsiTheme="minorHAnsi" w:cstheme="minorHAnsi"/>
                <w:b/>
                <w:sz w:val="24"/>
              </w:rPr>
              <w:t>Cambio</w:t>
            </w:r>
          </w:p>
        </w:tc>
      </w:tr>
      <w:tr w:rsidR="007C0A7D" w:rsidRPr="00480387" w14:paraId="614C3FCF" w14:textId="77777777" w:rsidTr="00416627">
        <w:trPr>
          <w:trHeight w:val="535"/>
        </w:trPr>
        <w:tc>
          <w:tcPr>
            <w:tcW w:w="1227" w:type="dxa"/>
            <w:shd w:val="clear" w:color="auto" w:fill="auto"/>
          </w:tcPr>
          <w:p w14:paraId="614C3FCB" w14:textId="77777777" w:rsidR="00B831EB" w:rsidRPr="001C1945" w:rsidRDefault="001C1945" w:rsidP="001C1945">
            <w:pPr>
              <w:spacing w:after="200"/>
              <w:rPr>
                <w:rFonts w:asciiTheme="minorHAnsi" w:eastAsia="Montserrat" w:hAnsiTheme="minorHAnsi" w:cstheme="minorHAnsi"/>
                <w:szCs w:val="20"/>
              </w:rPr>
            </w:pPr>
            <w:r w:rsidRPr="001C1945">
              <w:rPr>
                <w:rFonts w:asciiTheme="minorHAnsi" w:eastAsia="Montserrat" w:hAnsiTheme="minorHAnsi" w:cstheme="minorHAnsi"/>
                <w:szCs w:val="20"/>
              </w:rPr>
              <w:t>V01</w:t>
            </w:r>
          </w:p>
        </w:tc>
        <w:tc>
          <w:tcPr>
            <w:tcW w:w="1515" w:type="dxa"/>
          </w:tcPr>
          <w:p w14:paraId="614C3FCC" w14:textId="00EB12F2" w:rsidR="00B831EB" w:rsidRPr="001C1945" w:rsidRDefault="00760BAE" w:rsidP="00421550">
            <w:pPr>
              <w:spacing w:after="200"/>
              <w:rPr>
                <w:rFonts w:asciiTheme="minorHAnsi" w:eastAsia="Montserrat" w:hAnsiTheme="minorHAnsi" w:cstheme="minorHAnsi"/>
                <w:szCs w:val="20"/>
              </w:rPr>
            </w:pPr>
            <w:r>
              <w:rPr>
                <w:rFonts w:asciiTheme="minorHAnsi" w:eastAsia="Montserrat" w:hAnsiTheme="minorHAnsi" w:cstheme="minorHAnsi"/>
                <w:szCs w:val="20"/>
              </w:rPr>
              <w:t>31-01-2024</w:t>
            </w:r>
          </w:p>
        </w:tc>
        <w:tc>
          <w:tcPr>
            <w:tcW w:w="2073" w:type="dxa"/>
          </w:tcPr>
          <w:p w14:paraId="614C3FCD" w14:textId="220F7A46" w:rsidR="00B831EB" w:rsidRPr="001C1945" w:rsidRDefault="00421550" w:rsidP="007C0A7D">
            <w:pPr>
              <w:spacing w:after="200"/>
              <w:rPr>
                <w:rFonts w:asciiTheme="minorHAnsi" w:eastAsia="Montserrat" w:hAnsiTheme="minorHAnsi" w:cstheme="minorHAnsi"/>
                <w:szCs w:val="20"/>
              </w:rPr>
            </w:pPr>
            <w:r>
              <w:rPr>
                <w:rFonts w:asciiTheme="minorHAnsi" w:eastAsia="Montserrat" w:hAnsiTheme="minorHAnsi" w:cstheme="minorHAnsi"/>
                <w:szCs w:val="20"/>
              </w:rPr>
              <w:t xml:space="preserve">Dpto. </w:t>
            </w:r>
            <w:r w:rsidR="0004375A">
              <w:rPr>
                <w:rFonts w:asciiTheme="minorHAnsi" w:eastAsia="Montserrat" w:hAnsiTheme="minorHAnsi" w:cstheme="minorHAnsi"/>
                <w:szCs w:val="20"/>
              </w:rPr>
              <w:t>Compliance</w:t>
            </w:r>
            <w:r w:rsidR="007B2F81">
              <w:rPr>
                <w:rFonts w:asciiTheme="minorHAnsi" w:eastAsia="Montserrat" w:hAnsiTheme="minorHAnsi" w:cstheme="minorHAnsi"/>
                <w:szCs w:val="20"/>
              </w:rPr>
              <w:t xml:space="preserve"> </w:t>
            </w:r>
            <w:r w:rsidR="0004375A">
              <w:rPr>
                <w:rFonts w:asciiTheme="minorHAnsi" w:eastAsia="Montserrat" w:hAnsiTheme="minorHAnsi" w:cstheme="minorHAnsi"/>
                <w:szCs w:val="20"/>
              </w:rPr>
              <w:t>Tecnológico</w:t>
            </w:r>
          </w:p>
        </w:tc>
        <w:tc>
          <w:tcPr>
            <w:tcW w:w="4506" w:type="dxa"/>
            <w:shd w:val="clear" w:color="auto" w:fill="auto"/>
          </w:tcPr>
          <w:p w14:paraId="614C3FCE" w14:textId="2E2E048C" w:rsidR="00B831EB" w:rsidRPr="001C1945" w:rsidRDefault="00421550" w:rsidP="007B2F81">
            <w:pPr>
              <w:spacing w:after="200"/>
              <w:rPr>
                <w:rFonts w:asciiTheme="minorHAnsi" w:eastAsia="Montserrat" w:hAnsiTheme="minorHAnsi" w:cstheme="minorHAnsi"/>
                <w:szCs w:val="20"/>
              </w:rPr>
            </w:pPr>
            <w:r>
              <w:rPr>
                <w:rFonts w:asciiTheme="minorHAnsi" w:eastAsia="Montserrat" w:hAnsiTheme="minorHAnsi" w:cstheme="minorHAnsi"/>
                <w:szCs w:val="20"/>
              </w:rPr>
              <w:t>Publicación inicial.</w:t>
            </w:r>
            <w:r w:rsidR="007B2F81">
              <w:rPr>
                <w:rFonts w:asciiTheme="minorHAnsi" w:eastAsia="Montserrat" w:hAnsiTheme="minorHAnsi" w:cstheme="minorHAnsi"/>
                <w:szCs w:val="20"/>
              </w:rPr>
              <w:t xml:space="preserve"> </w:t>
            </w:r>
            <w:r w:rsidR="00760BAE">
              <w:rPr>
                <w:rFonts w:asciiTheme="minorHAnsi" w:eastAsia="Montserrat" w:hAnsiTheme="minorHAnsi" w:cstheme="minorHAnsi"/>
                <w:szCs w:val="20"/>
              </w:rPr>
              <w:t>Ya está aprobada por el Consejo de Administración.</w:t>
            </w:r>
            <w:r w:rsidR="0004375A">
              <w:rPr>
                <w:rFonts w:asciiTheme="minorHAnsi" w:eastAsia="Montserrat" w:hAnsiTheme="minorHAnsi" w:cstheme="minorHAnsi"/>
                <w:szCs w:val="20"/>
              </w:rPr>
              <w:t xml:space="preserve"> </w:t>
            </w:r>
          </w:p>
        </w:tc>
      </w:tr>
      <w:tr w:rsidR="000A08B9" w:rsidRPr="00480387" w14:paraId="319FCF53" w14:textId="77777777" w:rsidTr="00416627">
        <w:trPr>
          <w:trHeight w:val="535"/>
        </w:trPr>
        <w:tc>
          <w:tcPr>
            <w:tcW w:w="1227" w:type="dxa"/>
            <w:shd w:val="clear" w:color="auto" w:fill="auto"/>
          </w:tcPr>
          <w:p w14:paraId="63CAC9D9" w14:textId="363B0407" w:rsidR="000A08B9" w:rsidRPr="001C1945" w:rsidRDefault="000A08B9" w:rsidP="001C1945">
            <w:pPr>
              <w:spacing w:after="200"/>
              <w:rPr>
                <w:rFonts w:asciiTheme="minorHAnsi" w:eastAsia="Montserrat" w:hAnsiTheme="minorHAnsi" w:cstheme="minorHAnsi"/>
                <w:szCs w:val="20"/>
              </w:rPr>
            </w:pPr>
            <w:r>
              <w:rPr>
                <w:rFonts w:asciiTheme="minorHAnsi" w:eastAsia="Montserrat" w:hAnsiTheme="minorHAnsi" w:cstheme="minorHAnsi"/>
                <w:szCs w:val="20"/>
              </w:rPr>
              <w:t>V01-R01</w:t>
            </w:r>
          </w:p>
        </w:tc>
        <w:tc>
          <w:tcPr>
            <w:tcW w:w="1515" w:type="dxa"/>
          </w:tcPr>
          <w:p w14:paraId="75AE6444" w14:textId="55B92F2B" w:rsidR="000A08B9" w:rsidRDefault="000A08B9" w:rsidP="00421550">
            <w:pPr>
              <w:spacing w:after="200"/>
              <w:rPr>
                <w:rFonts w:asciiTheme="minorHAnsi" w:eastAsia="Montserrat" w:hAnsiTheme="minorHAnsi" w:cstheme="minorHAnsi"/>
                <w:szCs w:val="20"/>
              </w:rPr>
            </w:pPr>
            <w:r>
              <w:rPr>
                <w:rFonts w:asciiTheme="minorHAnsi" w:eastAsia="Montserrat" w:hAnsiTheme="minorHAnsi" w:cstheme="minorHAnsi"/>
                <w:szCs w:val="20"/>
              </w:rPr>
              <w:t>19-05-2025</w:t>
            </w:r>
          </w:p>
        </w:tc>
        <w:tc>
          <w:tcPr>
            <w:tcW w:w="2073" w:type="dxa"/>
          </w:tcPr>
          <w:p w14:paraId="3E498E1F" w14:textId="5A9EC08E" w:rsidR="000A08B9" w:rsidRDefault="000A08B9" w:rsidP="007C0A7D">
            <w:pPr>
              <w:spacing w:after="200"/>
              <w:rPr>
                <w:rFonts w:asciiTheme="minorHAnsi" w:eastAsia="Montserrat" w:hAnsiTheme="minorHAnsi" w:cstheme="minorHAnsi"/>
                <w:szCs w:val="20"/>
              </w:rPr>
            </w:pPr>
            <w:r>
              <w:rPr>
                <w:rFonts w:asciiTheme="minorHAnsi" w:eastAsia="Montserrat" w:hAnsiTheme="minorHAnsi" w:cstheme="minorHAnsi"/>
                <w:szCs w:val="20"/>
              </w:rPr>
              <w:t>Dpto. Compliance Tecnológico</w:t>
            </w:r>
          </w:p>
        </w:tc>
        <w:tc>
          <w:tcPr>
            <w:tcW w:w="4506" w:type="dxa"/>
            <w:shd w:val="clear" w:color="auto" w:fill="auto"/>
          </w:tcPr>
          <w:p w14:paraId="26DE1A33" w14:textId="21B69353" w:rsidR="000A08B9" w:rsidRDefault="000A08B9" w:rsidP="007B2F81">
            <w:pPr>
              <w:spacing w:after="200"/>
              <w:rPr>
                <w:rFonts w:asciiTheme="minorHAnsi" w:eastAsia="Montserrat" w:hAnsiTheme="minorHAnsi" w:cstheme="minorHAnsi"/>
                <w:szCs w:val="20"/>
              </w:rPr>
            </w:pPr>
            <w:r>
              <w:rPr>
                <w:rFonts w:asciiTheme="minorHAnsi" w:eastAsia="Montserrat" w:hAnsiTheme="minorHAnsi" w:cstheme="minorHAnsi"/>
                <w:szCs w:val="20"/>
              </w:rPr>
              <w:t>Revisión sin cambios</w:t>
            </w:r>
            <w:r w:rsidR="00BA274D">
              <w:rPr>
                <w:rFonts w:asciiTheme="minorHAnsi" w:eastAsia="Montserrat" w:hAnsiTheme="minorHAnsi" w:cstheme="minorHAnsi"/>
                <w:szCs w:val="20"/>
              </w:rPr>
              <w:t>.</w:t>
            </w:r>
          </w:p>
        </w:tc>
      </w:tr>
    </w:tbl>
    <w:p w14:paraId="614C3FDA" w14:textId="77777777" w:rsidR="00B831EB" w:rsidRDefault="00B831EB">
      <w:pPr>
        <w:rPr>
          <w:rFonts w:asciiTheme="minorHAnsi" w:hAnsiTheme="minorHAnsi" w:cstheme="minorHAnsi"/>
          <w:sz w:val="24"/>
        </w:rPr>
      </w:pPr>
    </w:p>
    <w:p w14:paraId="614C3FDB" w14:textId="77777777" w:rsidR="00B831EB" w:rsidRDefault="00B831EB">
      <w:pPr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br w:type="page"/>
      </w:r>
    </w:p>
    <w:p w14:paraId="614C3FDC" w14:textId="77777777" w:rsidR="001C1945" w:rsidRDefault="001C1945">
      <w:pPr>
        <w:rPr>
          <w:rFonts w:asciiTheme="minorHAnsi" w:hAnsiTheme="minorHAnsi" w:cstheme="minorHAnsi"/>
          <w:sz w:val="24"/>
        </w:rPr>
      </w:pPr>
    </w:p>
    <w:p w14:paraId="614C3FDD" w14:textId="77777777" w:rsidR="00D021D7" w:rsidRDefault="00BF2ADD">
      <w:pPr>
        <w:pBdr>
          <w:bottom w:val="single" w:sz="6" w:space="1" w:color="auto"/>
        </w:pBdr>
        <w:rPr>
          <w:rFonts w:asciiTheme="minorHAnsi" w:hAnsiTheme="minorHAnsi" w:cstheme="minorHAnsi"/>
          <w:sz w:val="40"/>
          <w:szCs w:val="40"/>
        </w:rPr>
      </w:pPr>
      <w:r w:rsidRPr="00BF2ADD">
        <w:rPr>
          <w:rFonts w:asciiTheme="minorHAnsi" w:hAnsiTheme="minorHAnsi" w:cstheme="minorHAnsi"/>
          <w:sz w:val="40"/>
          <w:szCs w:val="40"/>
        </w:rPr>
        <w:t>ÍNDICE</w:t>
      </w:r>
    </w:p>
    <w:p w14:paraId="614C3FDE" w14:textId="77777777" w:rsidR="00BF2ADD" w:rsidRPr="00620476" w:rsidRDefault="00BF2ADD">
      <w:pPr>
        <w:rPr>
          <w:rFonts w:asciiTheme="minorHAnsi" w:hAnsiTheme="minorHAnsi" w:cstheme="minorHAnsi"/>
          <w:szCs w:val="20"/>
        </w:rPr>
      </w:pPr>
    </w:p>
    <w:p w14:paraId="13E4E1D7" w14:textId="1AE89A13" w:rsidR="00BA274D" w:rsidRDefault="00756DBB">
      <w:pPr>
        <w:pStyle w:val="TDC1"/>
        <w:tabs>
          <w:tab w:val="right" w:leader="dot" w:pos="9016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4"/>
          <w:szCs w:val="24"/>
          <w14:ligatures w14:val="standardContextual"/>
        </w:rPr>
      </w:pPr>
      <w:r>
        <w:rPr>
          <w:rFonts w:asciiTheme="minorHAnsi" w:hAnsiTheme="minorHAnsi"/>
          <w:b w:val="0"/>
          <w:caps/>
        </w:rPr>
        <w:fldChar w:fldCharType="begin"/>
      </w:r>
      <w:r>
        <w:rPr>
          <w:rFonts w:asciiTheme="minorHAnsi" w:hAnsiTheme="minorHAnsi"/>
          <w:b w:val="0"/>
          <w:caps/>
        </w:rPr>
        <w:instrText xml:space="preserve"> TOC \o "1-6" \h \z \u </w:instrText>
      </w:r>
      <w:r>
        <w:rPr>
          <w:rFonts w:asciiTheme="minorHAnsi" w:hAnsiTheme="minorHAnsi"/>
          <w:b w:val="0"/>
          <w:caps/>
        </w:rPr>
        <w:fldChar w:fldCharType="separate"/>
      </w:r>
      <w:hyperlink w:anchor="_Toc198562779" w:history="1">
        <w:r w:rsidR="00BA274D" w:rsidRPr="001E2EC0">
          <w:rPr>
            <w:rStyle w:val="Hipervnculo"/>
            <w:noProof/>
          </w:rPr>
          <w:t>1. Introducción</w:t>
        </w:r>
        <w:r w:rsidR="00BA274D">
          <w:rPr>
            <w:noProof/>
            <w:webHidden/>
          </w:rPr>
          <w:tab/>
        </w:r>
        <w:r w:rsidR="00BA274D">
          <w:rPr>
            <w:noProof/>
            <w:webHidden/>
          </w:rPr>
          <w:fldChar w:fldCharType="begin"/>
        </w:r>
        <w:r w:rsidR="00BA274D">
          <w:rPr>
            <w:noProof/>
            <w:webHidden/>
          </w:rPr>
          <w:instrText xml:space="preserve"> PAGEREF _Toc198562779 \h </w:instrText>
        </w:r>
        <w:r w:rsidR="00BA274D">
          <w:rPr>
            <w:noProof/>
            <w:webHidden/>
          </w:rPr>
        </w:r>
        <w:r w:rsidR="00BA274D">
          <w:rPr>
            <w:noProof/>
            <w:webHidden/>
          </w:rPr>
          <w:fldChar w:fldCharType="separate"/>
        </w:r>
        <w:r w:rsidR="00501C7E">
          <w:rPr>
            <w:noProof/>
            <w:webHidden/>
          </w:rPr>
          <w:t>3</w:t>
        </w:r>
        <w:r w:rsidR="00BA274D">
          <w:rPr>
            <w:noProof/>
            <w:webHidden/>
          </w:rPr>
          <w:fldChar w:fldCharType="end"/>
        </w:r>
      </w:hyperlink>
    </w:p>
    <w:p w14:paraId="4EB89E51" w14:textId="56248323" w:rsidR="00BA274D" w:rsidRDefault="00BA274D">
      <w:pPr>
        <w:pStyle w:val="TDC1"/>
        <w:tabs>
          <w:tab w:val="right" w:leader="dot" w:pos="9016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4"/>
          <w:szCs w:val="24"/>
          <w14:ligatures w14:val="standardContextual"/>
        </w:rPr>
      </w:pPr>
      <w:hyperlink w:anchor="_Toc198562780" w:history="1">
        <w:r w:rsidRPr="001E2EC0">
          <w:rPr>
            <w:rStyle w:val="Hipervnculo"/>
            <w:noProof/>
          </w:rPr>
          <w:t>2. Objeto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_Toc198562780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01C7E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B9E6B06" w14:textId="753945A9" w:rsidR="00BA274D" w:rsidRDefault="00BA274D">
      <w:pPr>
        <w:pStyle w:val="TDC1"/>
        <w:tabs>
          <w:tab w:val="right" w:leader="dot" w:pos="9016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4"/>
          <w:szCs w:val="24"/>
          <w14:ligatures w14:val="standardContextual"/>
        </w:rPr>
      </w:pPr>
      <w:hyperlink w:anchor="_Toc198562781" w:history="1">
        <w:r w:rsidRPr="001E2EC0">
          <w:rPr>
            <w:rStyle w:val="Hipervnculo"/>
            <w:noProof/>
          </w:rPr>
          <w:t>3. Alcance material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_Toc198562781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01C7E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77C7C07" w14:textId="727893B6" w:rsidR="00BA274D" w:rsidRDefault="00BA274D">
      <w:pPr>
        <w:pStyle w:val="TDC1"/>
        <w:tabs>
          <w:tab w:val="right" w:leader="dot" w:pos="9016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4"/>
          <w:szCs w:val="24"/>
          <w14:ligatures w14:val="standardContextual"/>
        </w:rPr>
      </w:pPr>
      <w:hyperlink w:anchor="_Toc198562782" w:history="1">
        <w:r w:rsidRPr="001E2EC0">
          <w:rPr>
            <w:rStyle w:val="Hipervnculo"/>
            <w:noProof/>
          </w:rPr>
          <w:t>4. Alcance personal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_Toc198562782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01C7E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DAEF0E2" w14:textId="050917D9" w:rsidR="00BA274D" w:rsidRDefault="00BA274D">
      <w:pPr>
        <w:pStyle w:val="TDC1"/>
        <w:tabs>
          <w:tab w:val="right" w:leader="dot" w:pos="9016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4"/>
          <w:szCs w:val="24"/>
          <w14:ligatures w14:val="standardContextual"/>
        </w:rPr>
      </w:pPr>
      <w:hyperlink w:anchor="_Toc198562783" w:history="1">
        <w:r w:rsidRPr="001E2EC0">
          <w:rPr>
            <w:rStyle w:val="Hipervnculo"/>
            <w:noProof/>
          </w:rPr>
          <w:t>5. Exclusiones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_Toc198562783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01C7E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B5BEDDC" w14:textId="042AACEB" w:rsidR="00BA274D" w:rsidRDefault="00BA274D">
      <w:pPr>
        <w:pStyle w:val="TDC1"/>
        <w:tabs>
          <w:tab w:val="right" w:leader="dot" w:pos="9016"/>
        </w:tabs>
        <w:rPr>
          <w:rFonts w:asciiTheme="minorHAnsi" w:eastAsiaTheme="minorEastAsia" w:hAnsiTheme="minorHAnsi" w:cstheme="minorBidi"/>
          <w:b w:val="0"/>
          <w:bCs w:val="0"/>
          <w:noProof/>
          <w:kern w:val="2"/>
          <w:sz w:val="24"/>
          <w:szCs w:val="24"/>
          <w14:ligatures w14:val="standardContextual"/>
        </w:rPr>
      </w:pPr>
      <w:hyperlink w:anchor="_Toc198562784" w:history="1">
        <w:r w:rsidRPr="001E2EC0">
          <w:rPr>
            <w:rStyle w:val="Hipervnculo"/>
            <w:noProof/>
          </w:rPr>
          <w:t>6. Principios fundamentales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_Toc198562784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01C7E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14C3FE7" w14:textId="40C0F028" w:rsidR="00BF2ADD" w:rsidRPr="00BF2ADD" w:rsidRDefault="00756DBB">
      <w:pPr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b/>
          <w:caps/>
          <w:szCs w:val="20"/>
        </w:rPr>
        <w:fldChar w:fldCharType="end"/>
      </w:r>
    </w:p>
    <w:p w14:paraId="614C3FE8" w14:textId="77777777" w:rsidR="00D021D7" w:rsidRDefault="00D021D7">
      <w:pPr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br w:type="page"/>
      </w:r>
    </w:p>
    <w:p w14:paraId="614C3FE9" w14:textId="77777777" w:rsidR="000C2FA2" w:rsidRDefault="000C2FA2" w:rsidP="00852604">
      <w:pPr>
        <w:rPr>
          <w:rFonts w:asciiTheme="minorHAnsi" w:hAnsiTheme="minorHAnsi" w:cstheme="minorHAnsi"/>
          <w:sz w:val="24"/>
        </w:rPr>
      </w:pPr>
    </w:p>
    <w:p w14:paraId="614C3FEA" w14:textId="77777777" w:rsidR="000C2FA2" w:rsidRPr="004E6759" w:rsidRDefault="004E6759" w:rsidP="004E6759">
      <w:pPr>
        <w:pStyle w:val="Ttulo1"/>
      </w:pPr>
      <w:bookmarkStart w:id="0" w:name="_Toc132113006"/>
      <w:bookmarkStart w:id="1" w:name="_Toc198562779"/>
      <w:r w:rsidRPr="004E6759">
        <w:t>I</w:t>
      </w:r>
      <w:r>
        <w:t>ntroducción</w:t>
      </w:r>
      <w:bookmarkEnd w:id="0"/>
      <w:bookmarkEnd w:id="1"/>
    </w:p>
    <w:p w14:paraId="614C3FEB" w14:textId="77777777" w:rsidR="00C5721F" w:rsidRDefault="00C5721F" w:rsidP="00EA3C56">
      <w:pPr>
        <w:pStyle w:val="TEXTO"/>
        <w:spacing w:before="0"/>
        <w:jc w:val="both"/>
        <w:outlineLvl w:val="9"/>
        <w:rPr>
          <w:rFonts w:asciiTheme="minorHAnsi" w:hAnsiTheme="minorHAnsi" w:cstheme="minorHAnsi"/>
          <w:szCs w:val="24"/>
        </w:rPr>
      </w:pPr>
    </w:p>
    <w:p w14:paraId="7B9EDFD8" w14:textId="0C5BEE23" w:rsidR="0004375A" w:rsidRDefault="0004375A" w:rsidP="0004375A">
      <w:pPr>
        <w:jc w:val="both"/>
        <w:rPr>
          <w:rFonts w:asciiTheme="minorHAnsi" w:hAnsiTheme="minorHAnsi" w:cstheme="minorHAnsi"/>
          <w:iCs/>
          <w:color w:val="000000"/>
          <w:sz w:val="24"/>
        </w:rPr>
      </w:pPr>
      <w:r w:rsidRPr="0004375A">
        <w:rPr>
          <w:rFonts w:asciiTheme="minorHAnsi" w:hAnsiTheme="minorHAnsi" w:cstheme="minorHAnsi"/>
          <w:iCs/>
          <w:color w:val="000000"/>
          <w:sz w:val="24"/>
        </w:rPr>
        <w:t>La Ley 2/2023, de 20 de febrero reguladora de la protección de las personas que informen sobre infracciones normativas y de lucha contra la corrupción, transpone al Derecho español la Directiva (UE) 2019/1937 del Parlamento Europeo y del Consejo, de 23 de octubre de 2019, relativa a la protección de las personas que informen sobre infracciones del Derecho de la Unión.</w:t>
      </w:r>
    </w:p>
    <w:p w14:paraId="3DCB759A" w14:textId="77777777" w:rsidR="0004375A" w:rsidRPr="0004375A" w:rsidRDefault="0004375A" w:rsidP="0004375A">
      <w:pPr>
        <w:jc w:val="both"/>
        <w:rPr>
          <w:rFonts w:asciiTheme="minorHAnsi" w:hAnsiTheme="minorHAnsi" w:cstheme="minorHAnsi"/>
          <w:iCs/>
          <w:color w:val="000000"/>
          <w:sz w:val="24"/>
        </w:rPr>
      </w:pPr>
    </w:p>
    <w:p w14:paraId="18FE4C8B" w14:textId="56681118" w:rsidR="0004375A" w:rsidRDefault="0004375A" w:rsidP="0004375A">
      <w:pPr>
        <w:jc w:val="both"/>
        <w:rPr>
          <w:rFonts w:asciiTheme="minorHAnsi" w:hAnsiTheme="minorHAnsi" w:cstheme="minorHAnsi"/>
          <w:iCs/>
          <w:color w:val="000000"/>
          <w:sz w:val="24"/>
        </w:rPr>
      </w:pPr>
      <w:r w:rsidRPr="0004375A">
        <w:rPr>
          <w:rFonts w:asciiTheme="minorHAnsi" w:hAnsiTheme="minorHAnsi" w:cstheme="minorHAnsi"/>
          <w:iCs/>
          <w:color w:val="000000"/>
          <w:sz w:val="24"/>
        </w:rPr>
        <w:t xml:space="preserve">La norma incorpora los dos objetivos establecidos por la Directiva: la protección a los informantes y el establecimiento de un marco regulatorio básico para los canales de denuncia. </w:t>
      </w:r>
    </w:p>
    <w:p w14:paraId="7164A0FB" w14:textId="77777777" w:rsidR="0004375A" w:rsidRPr="0004375A" w:rsidRDefault="0004375A" w:rsidP="0004375A">
      <w:pPr>
        <w:jc w:val="both"/>
        <w:rPr>
          <w:rFonts w:asciiTheme="minorHAnsi" w:hAnsiTheme="minorHAnsi" w:cstheme="minorHAnsi"/>
          <w:iCs/>
          <w:color w:val="000000"/>
          <w:sz w:val="24"/>
        </w:rPr>
      </w:pPr>
    </w:p>
    <w:p w14:paraId="057173A1" w14:textId="4343E5C9" w:rsidR="0004375A" w:rsidRDefault="0004375A" w:rsidP="0004375A">
      <w:pPr>
        <w:jc w:val="both"/>
        <w:rPr>
          <w:rFonts w:asciiTheme="minorHAnsi" w:hAnsiTheme="minorHAnsi" w:cstheme="minorHAnsi"/>
          <w:iCs/>
          <w:color w:val="000000"/>
          <w:sz w:val="24"/>
        </w:rPr>
      </w:pPr>
      <w:r w:rsidRPr="0004375A">
        <w:rPr>
          <w:rFonts w:asciiTheme="minorHAnsi" w:hAnsiTheme="minorHAnsi" w:cstheme="minorHAnsi"/>
          <w:iCs/>
          <w:color w:val="000000"/>
          <w:sz w:val="24"/>
        </w:rPr>
        <w:t xml:space="preserve">El informante adquiere un protagonismo esencial, pasando a ser sujeto de especial protección, ampliándose así mismo el ámbito material y subjetivo de los Sistemas Internos de Información (en adelante SII), que desbordan el alcance definido para el Canal </w:t>
      </w:r>
      <w:r>
        <w:rPr>
          <w:rFonts w:asciiTheme="minorHAnsi" w:hAnsiTheme="minorHAnsi" w:cstheme="minorHAnsi"/>
          <w:iCs/>
          <w:color w:val="000000"/>
          <w:sz w:val="24"/>
        </w:rPr>
        <w:t>de Denuncias</w:t>
      </w:r>
      <w:r w:rsidRPr="0004375A">
        <w:rPr>
          <w:rFonts w:asciiTheme="minorHAnsi" w:hAnsiTheme="minorHAnsi" w:cstheme="minorHAnsi"/>
          <w:iCs/>
          <w:color w:val="000000"/>
          <w:sz w:val="24"/>
        </w:rPr>
        <w:t xml:space="preserve"> en nuestro Sistema de Gestión de Cumplimiento Penal (en adelante SGCP).</w:t>
      </w:r>
    </w:p>
    <w:p w14:paraId="6F1F7866" w14:textId="77777777" w:rsidR="0004375A" w:rsidRPr="0004375A" w:rsidRDefault="0004375A" w:rsidP="0004375A">
      <w:pPr>
        <w:jc w:val="both"/>
        <w:rPr>
          <w:rFonts w:asciiTheme="minorHAnsi" w:hAnsiTheme="minorHAnsi" w:cstheme="minorHAnsi"/>
          <w:iCs/>
          <w:color w:val="000000"/>
          <w:sz w:val="24"/>
        </w:rPr>
      </w:pPr>
    </w:p>
    <w:p w14:paraId="614C3FEE" w14:textId="589BE2D6" w:rsidR="00EA3C56" w:rsidRDefault="0004375A" w:rsidP="0004375A">
      <w:pPr>
        <w:jc w:val="both"/>
        <w:rPr>
          <w:rFonts w:asciiTheme="minorHAnsi" w:hAnsiTheme="minorHAnsi" w:cstheme="minorHAnsi"/>
          <w:iCs/>
          <w:color w:val="000000"/>
          <w:sz w:val="24"/>
        </w:rPr>
      </w:pPr>
      <w:r w:rsidRPr="0004375A">
        <w:rPr>
          <w:rFonts w:asciiTheme="minorHAnsi" w:hAnsiTheme="minorHAnsi" w:cstheme="minorHAnsi"/>
          <w:iCs/>
          <w:color w:val="000000"/>
          <w:sz w:val="24"/>
        </w:rPr>
        <w:t xml:space="preserve">Por ello, el Consejo </w:t>
      </w:r>
      <w:r>
        <w:rPr>
          <w:rFonts w:asciiTheme="minorHAnsi" w:hAnsiTheme="minorHAnsi" w:cstheme="minorHAnsi"/>
          <w:iCs/>
          <w:color w:val="000000"/>
          <w:sz w:val="24"/>
        </w:rPr>
        <w:t>de Administración</w:t>
      </w:r>
      <w:r w:rsidRPr="0004375A">
        <w:rPr>
          <w:rFonts w:asciiTheme="minorHAnsi" w:hAnsiTheme="minorHAnsi" w:cstheme="minorHAnsi"/>
          <w:iCs/>
          <w:color w:val="000000"/>
          <w:sz w:val="24"/>
        </w:rPr>
        <w:t xml:space="preserve">, previa comunicación realizada en fecha </w:t>
      </w:r>
      <w:r>
        <w:rPr>
          <w:rFonts w:asciiTheme="minorHAnsi" w:hAnsiTheme="minorHAnsi" w:cstheme="minorHAnsi"/>
          <w:iCs/>
          <w:color w:val="000000"/>
          <w:sz w:val="24"/>
        </w:rPr>
        <w:t>11 de mayo de 2023</w:t>
      </w:r>
      <w:r w:rsidRPr="0004375A">
        <w:rPr>
          <w:rFonts w:asciiTheme="minorHAnsi" w:hAnsiTheme="minorHAnsi" w:cstheme="minorHAnsi"/>
          <w:iCs/>
          <w:color w:val="000000"/>
          <w:sz w:val="24"/>
        </w:rPr>
        <w:t xml:space="preserve"> a los representantes de los trabajadores, ha acordado aprobar una nueva Política de obligado cumplimiento que integre la Ley 2/2023 en el acervo normativo interno de </w:t>
      </w:r>
      <w:r>
        <w:rPr>
          <w:rFonts w:asciiTheme="minorHAnsi" w:hAnsiTheme="minorHAnsi" w:cstheme="minorHAnsi"/>
          <w:iCs/>
          <w:color w:val="000000"/>
          <w:sz w:val="24"/>
        </w:rPr>
        <w:t>Rural Servicios Informáticos, SL</w:t>
      </w:r>
      <w:r w:rsidRPr="0004375A">
        <w:rPr>
          <w:rFonts w:asciiTheme="minorHAnsi" w:hAnsiTheme="minorHAnsi" w:cstheme="minorHAnsi"/>
          <w:iCs/>
          <w:color w:val="000000"/>
          <w:sz w:val="24"/>
        </w:rPr>
        <w:t xml:space="preserve">, en adelante </w:t>
      </w:r>
      <w:r>
        <w:rPr>
          <w:rFonts w:asciiTheme="minorHAnsi" w:hAnsiTheme="minorHAnsi" w:cstheme="minorHAnsi"/>
          <w:iCs/>
          <w:color w:val="000000"/>
          <w:sz w:val="24"/>
        </w:rPr>
        <w:t>RSI</w:t>
      </w:r>
      <w:r w:rsidRPr="0004375A">
        <w:rPr>
          <w:rFonts w:asciiTheme="minorHAnsi" w:hAnsiTheme="minorHAnsi" w:cstheme="minorHAnsi"/>
          <w:iCs/>
          <w:color w:val="000000"/>
          <w:sz w:val="24"/>
        </w:rPr>
        <w:t>, estableciendo a través de la misma los fundamentos de nuestro SII, así como los principios y órganos internos responsables de asegurar su eficaz implantación.</w:t>
      </w:r>
    </w:p>
    <w:p w14:paraId="6F5A1AA2" w14:textId="150894FE" w:rsidR="0004375A" w:rsidRDefault="0004375A" w:rsidP="0004375A">
      <w:pPr>
        <w:jc w:val="both"/>
        <w:rPr>
          <w:rFonts w:asciiTheme="minorHAnsi" w:hAnsiTheme="minorHAnsi" w:cstheme="minorHAnsi"/>
          <w:iCs/>
          <w:color w:val="000000"/>
          <w:sz w:val="24"/>
        </w:rPr>
      </w:pPr>
    </w:p>
    <w:p w14:paraId="45BFD21B" w14:textId="69177DD1" w:rsidR="0004375A" w:rsidRDefault="0004375A" w:rsidP="0004375A">
      <w:pPr>
        <w:jc w:val="both"/>
        <w:rPr>
          <w:rFonts w:asciiTheme="minorHAnsi" w:hAnsiTheme="minorHAnsi" w:cstheme="minorHAnsi"/>
          <w:iCs/>
          <w:color w:val="000000"/>
          <w:sz w:val="24"/>
        </w:rPr>
      </w:pPr>
      <w:r w:rsidRPr="0004375A">
        <w:rPr>
          <w:rFonts w:asciiTheme="minorHAnsi" w:hAnsiTheme="minorHAnsi" w:cstheme="minorHAnsi"/>
          <w:iCs/>
          <w:color w:val="000000"/>
          <w:sz w:val="24"/>
        </w:rPr>
        <w:t xml:space="preserve">La presente Política es de aplicación al propio Consejo </w:t>
      </w:r>
      <w:r>
        <w:rPr>
          <w:rFonts w:asciiTheme="minorHAnsi" w:hAnsiTheme="minorHAnsi" w:cstheme="minorHAnsi"/>
          <w:iCs/>
          <w:color w:val="000000"/>
          <w:sz w:val="24"/>
        </w:rPr>
        <w:t>de Administración</w:t>
      </w:r>
      <w:r w:rsidRPr="0004375A">
        <w:rPr>
          <w:rFonts w:asciiTheme="minorHAnsi" w:hAnsiTheme="minorHAnsi" w:cstheme="minorHAnsi"/>
          <w:iCs/>
          <w:color w:val="000000"/>
          <w:sz w:val="24"/>
        </w:rPr>
        <w:t>, Dirección General, Comité de Dirección y a todos los empleados de la Entidad, así como a aquellas partes interesadas y socios de negocio relacionados con la misma.</w:t>
      </w:r>
    </w:p>
    <w:p w14:paraId="4542A240" w14:textId="77777777" w:rsidR="0004375A" w:rsidRPr="0004375A" w:rsidRDefault="0004375A" w:rsidP="0004375A">
      <w:pPr>
        <w:jc w:val="both"/>
        <w:rPr>
          <w:rFonts w:asciiTheme="minorHAnsi" w:hAnsiTheme="minorHAnsi" w:cstheme="minorHAnsi"/>
          <w:iCs/>
          <w:color w:val="000000"/>
          <w:sz w:val="24"/>
        </w:rPr>
      </w:pPr>
    </w:p>
    <w:p w14:paraId="05489AB6" w14:textId="6AEC424D" w:rsidR="0004375A" w:rsidRDefault="0004375A" w:rsidP="0004375A">
      <w:pPr>
        <w:jc w:val="both"/>
        <w:rPr>
          <w:rFonts w:asciiTheme="minorHAnsi" w:hAnsiTheme="minorHAnsi" w:cstheme="minorHAnsi"/>
          <w:iCs/>
          <w:color w:val="000000"/>
          <w:sz w:val="24"/>
        </w:rPr>
      </w:pPr>
      <w:r w:rsidRPr="0004375A">
        <w:rPr>
          <w:rFonts w:asciiTheme="minorHAnsi" w:hAnsiTheme="minorHAnsi" w:cstheme="minorHAnsi"/>
          <w:iCs/>
          <w:color w:val="000000"/>
          <w:sz w:val="24"/>
        </w:rPr>
        <w:t>Dichas personas deberán seguir los comportamientos descritos en la presente Política en relación a todas las actividades que desarrollen en el ejercicio de su relación profesional con la Entidad.</w:t>
      </w:r>
    </w:p>
    <w:p w14:paraId="78B09105" w14:textId="3C7F5AEE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7CD036E5" w14:textId="77777777" w:rsidR="00421550" w:rsidRDefault="00421550" w:rsidP="0004375A">
      <w:pPr>
        <w:jc w:val="both"/>
        <w:rPr>
          <w:rFonts w:asciiTheme="minorHAnsi" w:hAnsiTheme="minorHAnsi" w:cstheme="minorHAnsi"/>
          <w:sz w:val="24"/>
        </w:rPr>
      </w:pPr>
    </w:p>
    <w:p w14:paraId="31510758" w14:textId="20E0CDA3" w:rsidR="0004375A" w:rsidRPr="004E6759" w:rsidRDefault="0004375A" w:rsidP="0004375A">
      <w:pPr>
        <w:pStyle w:val="Ttulo1"/>
      </w:pPr>
      <w:bookmarkStart w:id="2" w:name="_Toc198562780"/>
      <w:r>
        <w:t>Objeto</w:t>
      </w:r>
      <w:bookmarkEnd w:id="2"/>
    </w:p>
    <w:p w14:paraId="15A7BF2B" w14:textId="77777777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3F8E135D" w14:textId="53C7C4E0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La presente Política de Información de Irregularidades y Protección de los Informantes se desarrolla con el fin de:</w:t>
      </w:r>
    </w:p>
    <w:p w14:paraId="31D8B7A4" w14:textId="77777777" w:rsidR="0004375A" w:rsidRPr="00421550" w:rsidRDefault="0004375A" w:rsidP="0004375A">
      <w:pPr>
        <w:jc w:val="both"/>
        <w:rPr>
          <w:rFonts w:asciiTheme="minorHAnsi" w:hAnsiTheme="minorHAnsi" w:cstheme="minorHAnsi"/>
          <w:color w:val="000000" w:themeColor="text1"/>
          <w:sz w:val="24"/>
        </w:rPr>
      </w:pPr>
    </w:p>
    <w:p w14:paraId="48899CD8" w14:textId="424ADFAA" w:rsidR="0004375A" w:rsidRPr="00421550" w:rsidRDefault="0004375A" w:rsidP="00421550">
      <w:pPr>
        <w:pStyle w:val="Prrafodelista"/>
        <w:numPr>
          <w:ilvl w:val="0"/>
          <w:numId w:val="11"/>
        </w:numPr>
        <w:jc w:val="both"/>
        <w:rPr>
          <w:rFonts w:asciiTheme="minorHAnsi" w:hAnsiTheme="minorHAnsi" w:cstheme="minorHAnsi"/>
          <w:color w:val="000000" w:themeColor="text1"/>
          <w:sz w:val="24"/>
        </w:rPr>
      </w:pPr>
      <w:r w:rsidRPr="00421550">
        <w:rPr>
          <w:rFonts w:asciiTheme="minorHAnsi" w:hAnsiTheme="minorHAnsi" w:cstheme="minorHAnsi"/>
          <w:color w:val="000000" w:themeColor="text1"/>
          <w:sz w:val="24"/>
        </w:rPr>
        <w:t xml:space="preserve">Establecer un SII de obligado cumplimiento para todos los integrantes de RSI: Consejo de Administración, Dirección General, Comité de Dirección, personas empleadas, así como aquellas partes interesadas y socios de negocio relacionados con el mismo, adaptándolo a las disposiciones normativas y a los requisitos establecidos en la Ley 2/2023, de 20 de febrero reguladora de la protección de las personas que informen sobre infracciones normativas y de lucha contra la corrupción. </w:t>
      </w:r>
    </w:p>
    <w:p w14:paraId="6252DDF0" w14:textId="66C0B298" w:rsidR="0004375A" w:rsidRPr="00421550" w:rsidRDefault="0004375A" w:rsidP="00421550">
      <w:pPr>
        <w:pStyle w:val="Prrafodelista"/>
        <w:numPr>
          <w:ilvl w:val="0"/>
          <w:numId w:val="11"/>
        </w:numPr>
        <w:jc w:val="both"/>
        <w:rPr>
          <w:rFonts w:asciiTheme="minorHAnsi" w:hAnsiTheme="minorHAnsi" w:cstheme="minorHAnsi"/>
          <w:color w:val="000000" w:themeColor="text1"/>
          <w:sz w:val="24"/>
        </w:rPr>
      </w:pPr>
      <w:r w:rsidRPr="00421550">
        <w:rPr>
          <w:rFonts w:asciiTheme="minorHAnsi" w:hAnsiTheme="minorHAnsi" w:cstheme="minorHAnsi"/>
          <w:color w:val="000000" w:themeColor="text1"/>
          <w:sz w:val="24"/>
        </w:rPr>
        <w:t>Establecer canales de comunicación internos eficaces para las personas que quieran informar sobre irregularidades o infracciones, así como procedimientos necesarios para asegurar su anonimato o salvaguardar su identidad y evitarles cualquier tipo de represalia.</w:t>
      </w:r>
    </w:p>
    <w:p w14:paraId="2ABF08DB" w14:textId="7E62B65D" w:rsidR="0004375A" w:rsidRPr="00421550" w:rsidRDefault="0004375A" w:rsidP="00421550">
      <w:pPr>
        <w:pStyle w:val="Prrafodelista"/>
        <w:numPr>
          <w:ilvl w:val="0"/>
          <w:numId w:val="11"/>
        </w:numPr>
        <w:jc w:val="both"/>
        <w:rPr>
          <w:rFonts w:asciiTheme="minorHAnsi" w:hAnsiTheme="minorHAnsi" w:cstheme="minorHAnsi"/>
          <w:color w:val="000000" w:themeColor="text1"/>
          <w:sz w:val="24"/>
        </w:rPr>
      </w:pPr>
      <w:r w:rsidRPr="00421550">
        <w:rPr>
          <w:rFonts w:asciiTheme="minorHAnsi" w:hAnsiTheme="minorHAnsi" w:cstheme="minorHAnsi"/>
          <w:color w:val="000000" w:themeColor="text1"/>
          <w:sz w:val="24"/>
        </w:rPr>
        <w:t>Asegurar ante las partes interesadas: informantes, socios, clientes, proveedores, órganos administrativos y judiciales, y la sociedad en general que RSI cumple con los deberes establecidos por la legislación de protección a los informantes, y cuenta con canales de comunicación y medidas eficaces para mitigar el riesgo de incumplimiento de las obligaciones que le vienen impuestas.</w:t>
      </w:r>
    </w:p>
    <w:p w14:paraId="073E0C1D" w14:textId="4B05161B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1D2DD6C3" w14:textId="1B5A9A54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42ADBA90" w14:textId="4A70E467" w:rsidR="0004375A" w:rsidRDefault="0004375A" w:rsidP="0004375A">
      <w:pPr>
        <w:pStyle w:val="Ttulo1"/>
      </w:pPr>
      <w:bookmarkStart w:id="3" w:name="_Toc198562781"/>
      <w:r>
        <w:t>Alcance material</w:t>
      </w:r>
      <w:bookmarkEnd w:id="3"/>
    </w:p>
    <w:p w14:paraId="67F7140A" w14:textId="6C5A9ABB" w:rsidR="0004375A" w:rsidRDefault="0004375A" w:rsidP="0004375A"/>
    <w:p w14:paraId="1F5E2B0B" w14:textId="507B4A47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El alcance material de la presente Política de Información de Irregularidades y Protección de los Informantes viene establecido por las acciones y omisiones que pueden ser objeto de comunicación, conforme a lo establecido en el artículo 2 de la Ley 2/2023:</w:t>
      </w:r>
    </w:p>
    <w:p w14:paraId="24DD6FD2" w14:textId="77777777" w:rsidR="0004375A" w:rsidRP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7AA5FB17" w14:textId="57A18A28" w:rsidR="0004375A" w:rsidRPr="00421550" w:rsidRDefault="0004375A" w:rsidP="00421550">
      <w:pPr>
        <w:pStyle w:val="Prrafodelista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>Cualquier acción u omisión que pueda constituir una infracción del Derecho de la Unión Europea que</w:t>
      </w:r>
      <w:r w:rsidR="000F21B0">
        <w:rPr>
          <w:rFonts w:asciiTheme="minorHAnsi" w:hAnsiTheme="minorHAnsi" w:cstheme="minorHAnsi"/>
          <w:sz w:val="24"/>
        </w:rPr>
        <w:t>:</w:t>
      </w:r>
      <w:r w:rsidRPr="00421550">
        <w:rPr>
          <w:rFonts w:asciiTheme="minorHAnsi" w:hAnsiTheme="minorHAnsi" w:cstheme="minorHAnsi"/>
          <w:sz w:val="24"/>
        </w:rPr>
        <w:t xml:space="preserve"> </w:t>
      </w:r>
    </w:p>
    <w:p w14:paraId="4C9EA71A" w14:textId="38198BDF" w:rsidR="0004375A" w:rsidRPr="0004375A" w:rsidRDefault="0004375A" w:rsidP="00120666">
      <w:pPr>
        <w:pStyle w:val="Prrafodelista"/>
        <w:numPr>
          <w:ilvl w:val="1"/>
          <w:numId w:val="6"/>
        </w:num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 xml:space="preserve">entren en el ámbito de aplicación de los actos de la Unión Europea enumerados en el anexo de la Directiva (UE) 2019/1937 del Parlamento Europeo y del Consejo, de 23 de octubre de 2019, relativa a la protección de las personas que informen sobre infracciones del Derecho de la Unión, </w:t>
      </w:r>
    </w:p>
    <w:p w14:paraId="7D7D731F" w14:textId="091223B6" w:rsidR="0004375A" w:rsidRPr="0004375A" w:rsidRDefault="0004375A" w:rsidP="00120666">
      <w:pPr>
        <w:pStyle w:val="Prrafodelista"/>
        <w:numPr>
          <w:ilvl w:val="1"/>
          <w:numId w:val="6"/>
        </w:num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 xml:space="preserve">o bien afecten a los intereses financieros de la Unión Europea tal y como se contemplan en el artículo 325 del Tratado de Funcionamiento de la Unión Europea (TFUE); </w:t>
      </w:r>
    </w:p>
    <w:p w14:paraId="50B674EE" w14:textId="7DBBA2ED" w:rsidR="0004375A" w:rsidRPr="0004375A" w:rsidRDefault="0004375A" w:rsidP="00120666">
      <w:pPr>
        <w:pStyle w:val="Prrafodelista"/>
        <w:numPr>
          <w:ilvl w:val="1"/>
          <w:numId w:val="6"/>
        </w:num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o incidan en el mercado interior, tal y como se contempla en el artículo 26, apartado 2 del TFUE, incluidas las infracciones de las normas de la Unión Europea en materia de competencia y ayudas otorgadas por los Estados, así como las infracciones relativas al mercado interior en relación con los actos que infrinjan las normas del impuesto sobre sociedades o con prácticas cuya finalidad sea obtener una ventaja fiscal que desvirtúe el objeto o la finalidad de la legislación aplicable al impuesto sobre sociedades.</w:t>
      </w:r>
    </w:p>
    <w:p w14:paraId="02B0B44B" w14:textId="41025483" w:rsidR="0004375A" w:rsidRPr="00421550" w:rsidRDefault="0004375A" w:rsidP="00421550">
      <w:pPr>
        <w:pStyle w:val="Prrafodelista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>Cualquier acción u omisión que pueda ser constitutiva de infracción penal, o administrativa grave o muy grave conforme a nuestro derecho interno y de forma particular, la infracción de la normativa reguladora de la prevención del blanqueo de capitales y financiación del terrorismo.</w:t>
      </w:r>
    </w:p>
    <w:p w14:paraId="50014EF4" w14:textId="5259EC78" w:rsidR="0004375A" w:rsidRPr="00421550" w:rsidRDefault="0004375A" w:rsidP="00421550">
      <w:pPr>
        <w:pStyle w:val="Prrafodelista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>Especialmente cualquier conducta tipificada en el Código Penal que pudieran dar lugar a la responsabilidad penal de las personas jurídicas recogidas en el SGCP de RSI.</w:t>
      </w:r>
    </w:p>
    <w:p w14:paraId="5D3EB8D6" w14:textId="3A98B5A3" w:rsidR="0004375A" w:rsidRPr="00421550" w:rsidRDefault="0004375A" w:rsidP="00421550">
      <w:pPr>
        <w:pStyle w:val="Prrafodelista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>Cualquier irregularidad (error material o fraude) cometida en el proceso de emisión de Información Financiera y contable de RSI.</w:t>
      </w:r>
    </w:p>
    <w:p w14:paraId="4A45E48D" w14:textId="5AABEAAA" w:rsidR="0004375A" w:rsidRPr="00421550" w:rsidRDefault="0004375A" w:rsidP="00421550">
      <w:pPr>
        <w:pStyle w:val="Prrafodelista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 xml:space="preserve">Las violaciones del Código de Conducta de RSI. </w:t>
      </w:r>
    </w:p>
    <w:p w14:paraId="765DC3E5" w14:textId="43C2CEEA" w:rsidR="0004375A" w:rsidRPr="00421550" w:rsidRDefault="0004375A" w:rsidP="00421550">
      <w:pPr>
        <w:pStyle w:val="Prrafodelista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>Las violaciones de la Política de Conflictos de Interés de RSI.</w:t>
      </w:r>
    </w:p>
    <w:p w14:paraId="62443719" w14:textId="77777777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06311DC2" w14:textId="7648CF43" w:rsidR="0004375A" w:rsidRP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En adelante, el conjunto de disposiciones legales y directrices internas mencionadas cuya infracción es susceptible de ser denunciada a través del SII y sus canales de comunicación, serán denominadas como “la Normativa”.</w:t>
      </w:r>
    </w:p>
    <w:p w14:paraId="0B7C1A76" w14:textId="77777777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6AEEE148" w14:textId="024C3C54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 xml:space="preserve">Las comunicaciones deberán hacer referencia a acciones u omisiones que </w:t>
      </w:r>
      <w:r>
        <w:rPr>
          <w:rFonts w:asciiTheme="minorHAnsi" w:hAnsiTheme="minorHAnsi" w:cstheme="minorHAnsi"/>
          <w:sz w:val="24"/>
        </w:rPr>
        <w:t>RSI</w:t>
      </w:r>
      <w:r w:rsidRPr="0004375A">
        <w:rPr>
          <w:rFonts w:asciiTheme="minorHAnsi" w:hAnsiTheme="minorHAnsi" w:cstheme="minorHAnsi"/>
          <w:sz w:val="24"/>
        </w:rPr>
        <w:t xml:space="preserve"> tenga capacidad para investigar, corregir y reparar, es decir, relacionadas con las conductas de los miembros de </w:t>
      </w:r>
      <w:r>
        <w:rPr>
          <w:rFonts w:asciiTheme="minorHAnsi" w:hAnsiTheme="minorHAnsi" w:cstheme="minorHAnsi"/>
          <w:sz w:val="24"/>
        </w:rPr>
        <w:t>RSI</w:t>
      </w:r>
      <w:r w:rsidRPr="0004375A">
        <w:rPr>
          <w:rFonts w:asciiTheme="minorHAnsi" w:hAnsiTheme="minorHAnsi" w:cstheme="minorHAnsi"/>
          <w:sz w:val="24"/>
        </w:rPr>
        <w:t xml:space="preserve"> o del resto de partes interesadas o socios de negocio que participan de las actividades, procesos y procedimientos de </w:t>
      </w:r>
      <w:r>
        <w:rPr>
          <w:rFonts w:asciiTheme="minorHAnsi" w:hAnsiTheme="minorHAnsi" w:cstheme="minorHAnsi"/>
          <w:sz w:val="24"/>
        </w:rPr>
        <w:t>RSI</w:t>
      </w:r>
      <w:r w:rsidRPr="0004375A">
        <w:rPr>
          <w:rFonts w:asciiTheme="minorHAnsi" w:hAnsiTheme="minorHAnsi" w:cstheme="minorHAnsi"/>
          <w:sz w:val="24"/>
        </w:rPr>
        <w:t>.</w:t>
      </w:r>
    </w:p>
    <w:p w14:paraId="41B32414" w14:textId="0EDB53D7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0F2C1462" w14:textId="77777777" w:rsidR="00421550" w:rsidRDefault="00421550" w:rsidP="0004375A">
      <w:pPr>
        <w:jc w:val="both"/>
        <w:rPr>
          <w:rFonts w:asciiTheme="minorHAnsi" w:hAnsiTheme="minorHAnsi" w:cstheme="minorHAnsi"/>
          <w:sz w:val="24"/>
        </w:rPr>
      </w:pPr>
    </w:p>
    <w:p w14:paraId="026D784E" w14:textId="4C188527" w:rsidR="0004375A" w:rsidRDefault="0004375A" w:rsidP="0004375A">
      <w:pPr>
        <w:pStyle w:val="Ttulo1"/>
      </w:pPr>
      <w:bookmarkStart w:id="4" w:name="_Toc198562782"/>
      <w:r>
        <w:t>Alcance personal</w:t>
      </w:r>
      <w:bookmarkEnd w:id="4"/>
    </w:p>
    <w:p w14:paraId="78126752" w14:textId="77777777" w:rsidR="0004375A" w:rsidRP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2585A97C" w14:textId="4FC0F8D4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De conformidad con lo establecido en el artículo 3 de la Ley 2/2023, esta Política se aplicará a todas las personas que informen sobre cualquier acción u omisión comprendida en el alcance material establecido en el apartado anterior.</w:t>
      </w:r>
    </w:p>
    <w:p w14:paraId="13C3B851" w14:textId="195FBFCC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Se consideran informantes especialmente protegidos:</w:t>
      </w:r>
    </w:p>
    <w:p w14:paraId="094DB075" w14:textId="77777777" w:rsidR="0004375A" w:rsidRP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5682ACBA" w14:textId="460D36E8" w:rsidR="0004375A" w:rsidRPr="00421550" w:rsidRDefault="0004375A" w:rsidP="00421550">
      <w:pPr>
        <w:pStyle w:val="Prrafodelista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>Las personas que trabajan o hayan trabajado para RSI.</w:t>
      </w:r>
    </w:p>
    <w:p w14:paraId="6E294956" w14:textId="2CB13279" w:rsidR="0004375A" w:rsidRPr="00421550" w:rsidRDefault="0004375A" w:rsidP="00421550">
      <w:pPr>
        <w:pStyle w:val="Prrafodelista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>Los autónomos que mantengan con RSI cualquier clase de relación de prestación de servicios.</w:t>
      </w:r>
    </w:p>
    <w:p w14:paraId="40EF6C6A" w14:textId="7BDFB781" w:rsidR="0004375A" w:rsidRPr="00421550" w:rsidRDefault="0004375A" w:rsidP="00421550">
      <w:pPr>
        <w:pStyle w:val="Prrafodelista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>Socios, participes, personas que integran el Consejo de Administración o la Dirección General y Comité de Dirección.</w:t>
      </w:r>
    </w:p>
    <w:p w14:paraId="3C1F083B" w14:textId="28005FA2" w:rsidR="0004375A" w:rsidRPr="00421550" w:rsidRDefault="0004375A" w:rsidP="00421550">
      <w:pPr>
        <w:pStyle w:val="Prrafodelista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>Cualquier otra persona que trabaje para o bajo la supervisión y la dirección de contratistas, subcontratistas y proveedores, con los que RSI mantenga una relación contractual o de negocio.</w:t>
      </w:r>
    </w:p>
    <w:p w14:paraId="0D8BA497" w14:textId="3BBB3DDE" w:rsidR="0004375A" w:rsidRPr="00421550" w:rsidRDefault="0004375A" w:rsidP="00421550">
      <w:pPr>
        <w:pStyle w:val="Prrafodelista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>Voluntarios, becarios, trabajadores en periodos de formación con independencia de que perciban o no una remuneración, aun cuando la relación laboral o estatutaria haya finalizado, así como a aquellos cuya relación laboral todavía no haya comenzado, en los casos en que la información sobre infracciones se haya obtenido durante el proceso de selección o de negociación precontractual.</w:t>
      </w:r>
    </w:p>
    <w:p w14:paraId="1FFA0B9B" w14:textId="77777777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4135F093" w14:textId="52DCD2EA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Se asimilan a los informantes especialmente protegidos las siguientes personas:</w:t>
      </w:r>
    </w:p>
    <w:p w14:paraId="7C944B66" w14:textId="77777777" w:rsidR="0004375A" w:rsidRP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4D5B0853" w14:textId="57F43033" w:rsidR="0004375A" w:rsidRPr="00421550" w:rsidRDefault="0004375A" w:rsidP="00421550">
      <w:pPr>
        <w:pStyle w:val="Prrafodelista"/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>Los representantes legales de las personas trabajadoras en el ejercicio de sus funciones de asesoramiento y apoyo al informante.</w:t>
      </w:r>
    </w:p>
    <w:p w14:paraId="385B3896" w14:textId="5FD08C94" w:rsidR="0004375A" w:rsidRPr="00421550" w:rsidRDefault="0004375A" w:rsidP="00421550">
      <w:pPr>
        <w:pStyle w:val="Prrafodelista"/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>Las personas físicas que, en el marco de la organización en la que preste servicios el informante, asistan al mismo en el proceso,</w:t>
      </w:r>
    </w:p>
    <w:p w14:paraId="1E96A391" w14:textId="1F99CCDF" w:rsidR="0004375A" w:rsidRPr="00421550" w:rsidRDefault="0004375A" w:rsidP="00421550">
      <w:pPr>
        <w:pStyle w:val="Prrafodelista"/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>Las personas físicas que estén relacionadas con el informante y que puedan sufrir represalias, como compañeros de trabajo o familiares del informante.</w:t>
      </w:r>
    </w:p>
    <w:p w14:paraId="140DB9AF" w14:textId="293603E3" w:rsidR="0004375A" w:rsidRPr="00421550" w:rsidRDefault="0004375A" w:rsidP="00421550">
      <w:pPr>
        <w:pStyle w:val="Prrafodelista"/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>Las personas jurídicas, para las que trabaje o con las que mantenga cualquier otro tipo de relación en un contexto laboral o en las que ostente una participación significativa que le permita tener capacidad de influencia.</w:t>
      </w:r>
    </w:p>
    <w:p w14:paraId="40A811E9" w14:textId="77777777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7DDF3758" w14:textId="1D7C3272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El grado de protección que se establece para los informantes especialmente protegidos no será inferior al que se establece en la Ley 2/2023, para las personas físicas que informan sobre acciones y omisiones contempladas en su artículo 3.</w:t>
      </w:r>
    </w:p>
    <w:p w14:paraId="13A8073F" w14:textId="7811CC55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5DD8D58F" w14:textId="77777777" w:rsidR="00421550" w:rsidRDefault="00421550" w:rsidP="0004375A">
      <w:pPr>
        <w:jc w:val="both"/>
        <w:rPr>
          <w:rFonts w:asciiTheme="minorHAnsi" w:hAnsiTheme="minorHAnsi" w:cstheme="minorHAnsi"/>
          <w:sz w:val="24"/>
        </w:rPr>
      </w:pPr>
    </w:p>
    <w:p w14:paraId="52CECAC7" w14:textId="5C308AFC" w:rsidR="0004375A" w:rsidRDefault="0004375A" w:rsidP="0004375A">
      <w:pPr>
        <w:pStyle w:val="Ttulo1"/>
      </w:pPr>
      <w:bookmarkStart w:id="5" w:name="_Toc198562783"/>
      <w:r>
        <w:t>Exclusiones</w:t>
      </w:r>
      <w:bookmarkEnd w:id="5"/>
    </w:p>
    <w:p w14:paraId="4D50BDE3" w14:textId="7D4BDDBA" w:rsidR="0004375A" w:rsidRDefault="0004375A" w:rsidP="0004375A"/>
    <w:p w14:paraId="08BE6A7E" w14:textId="30F9EAAD" w:rsidR="0004375A" w:rsidRP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Quedan expresamente excluidas de esta Política:</w:t>
      </w:r>
    </w:p>
    <w:p w14:paraId="7EACB8A6" w14:textId="77777777" w:rsidR="0004375A" w:rsidRP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0C082530" w14:textId="55623224" w:rsidR="0004375A" w:rsidRPr="00421550" w:rsidRDefault="0004375A" w:rsidP="00421550">
      <w:pPr>
        <w:pStyle w:val="Prrafodelista"/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>Las comunicaciones que afecten a información clasificada</w:t>
      </w:r>
      <w:r>
        <w:rPr>
          <w:rStyle w:val="Refdenotaalpie"/>
          <w:rFonts w:asciiTheme="minorHAnsi" w:hAnsiTheme="minorHAnsi" w:cstheme="minorHAnsi"/>
          <w:sz w:val="24"/>
        </w:rPr>
        <w:footnoteReference w:id="2"/>
      </w:r>
      <w:r w:rsidRPr="00421550">
        <w:rPr>
          <w:rFonts w:asciiTheme="minorHAnsi" w:hAnsiTheme="minorHAnsi" w:cstheme="minorHAnsi"/>
          <w:sz w:val="24"/>
        </w:rPr>
        <w:t>, que vulneren la protección del secreto profesional de los profesionales de la medicina y de la abogacía, el deber de confidencialidad de las Fuerzas y Cuerpos de Seguridad en el ámbito de sus actuaciones, o el secreto de las deliberaciones judiciales.</w:t>
      </w:r>
    </w:p>
    <w:p w14:paraId="2F876BDE" w14:textId="16DF0E7D" w:rsidR="0004375A" w:rsidRPr="00421550" w:rsidRDefault="0004375A" w:rsidP="00421550">
      <w:pPr>
        <w:pStyle w:val="Prrafodelista"/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>Las informaciones relativas a infracciones en la tramitación de procedimientos de contratación que contengan información clasificada o que hayan sido declarados secretos o reservados, o aquellos cuya ejecución deba ir acompañada de medidas de seguridad especiales conforme a la legislación vigente, o en los que lo exija la protección de intereses esenciales para la seguridad del Estado.</w:t>
      </w:r>
    </w:p>
    <w:p w14:paraId="7941FDC9" w14:textId="5ADAEEBF" w:rsidR="0004375A" w:rsidRPr="00421550" w:rsidRDefault="0004375A" w:rsidP="00421550">
      <w:pPr>
        <w:pStyle w:val="Prrafodelista"/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>Las comunicaciones inverosímiles o que se realicen a sabiendas de la falta de veracidad de su contenido, que se vinculen a conflictos interpersonales o que afecten únicamente al informante y a las personas a las que se refiera la comunicación o revelación.</w:t>
      </w:r>
    </w:p>
    <w:p w14:paraId="73B1F590" w14:textId="4DC31C05" w:rsidR="0004375A" w:rsidRPr="00421550" w:rsidRDefault="0004375A" w:rsidP="00421550">
      <w:pPr>
        <w:pStyle w:val="Prrafodelista"/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>Las comunicaciones cuya información resulte razonablemente probable que se haya obtenido mediante la comisión de un delito.</w:t>
      </w:r>
    </w:p>
    <w:p w14:paraId="0D2684BC" w14:textId="1652D8FE" w:rsidR="0004375A" w:rsidRPr="00421550" w:rsidRDefault="0004375A" w:rsidP="00421550">
      <w:pPr>
        <w:pStyle w:val="Prrafodelista"/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>Las comunicaciones que hayan sido fundamentadamente inadmitidas por otros canales de comunicación internos o externos.</w:t>
      </w:r>
    </w:p>
    <w:p w14:paraId="62863642" w14:textId="42082DB3" w:rsidR="0004375A" w:rsidRPr="00421550" w:rsidRDefault="0004375A" w:rsidP="00421550">
      <w:pPr>
        <w:pStyle w:val="Prrafodelista"/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</w:rPr>
      </w:pPr>
      <w:r w:rsidRPr="00421550">
        <w:rPr>
          <w:rFonts w:asciiTheme="minorHAnsi" w:hAnsiTheme="minorHAnsi" w:cstheme="minorHAnsi"/>
          <w:sz w:val="24"/>
        </w:rPr>
        <w:t>Cualquier otra comunicación relacionada con terceros que RSI no tenga posibilidad de investigar, corregir sus efectos o reparar sus daños.</w:t>
      </w:r>
    </w:p>
    <w:p w14:paraId="3EE89509" w14:textId="042D49E9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58792C1C" w14:textId="77777777" w:rsidR="00421550" w:rsidRDefault="00421550" w:rsidP="0004375A">
      <w:pPr>
        <w:jc w:val="both"/>
        <w:rPr>
          <w:rFonts w:asciiTheme="minorHAnsi" w:hAnsiTheme="minorHAnsi" w:cstheme="minorHAnsi"/>
          <w:sz w:val="24"/>
        </w:rPr>
      </w:pPr>
    </w:p>
    <w:p w14:paraId="5169A587" w14:textId="3756F7F9" w:rsidR="0004375A" w:rsidRDefault="0004375A" w:rsidP="0004375A">
      <w:pPr>
        <w:pStyle w:val="Ttulo1"/>
      </w:pPr>
      <w:bookmarkStart w:id="6" w:name="_Toc198562784"/>
      <w:r>
        <w:t>Principios fundamentales</w:t>
      </w:r>
      <w:bookmarkEnd w:id="6"/>
    </w:p>
    <w:p w14:paraId="1E73CF7F" w14:textId="56F3E390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56EB5C97" w14:textId="6A87FF4D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 xml:space="preserve">En cumplimiento de lo previsto en el artículo 5 de la Ley 2/2023, el Consejo </w:t>
      </w:r>
      <w:r>
        <w:rPr>
          <w:rFonts w:asciiTheme="minorHAnsi" w:hAnsiTheme="minorHAnsi" w:cstheme="minorHAnsi"/>
          <w:sz w:val="24"/>
        </w:rPr>
        <w:t>de Administración de RSI</w:t>
      </w:r>
      <w:r w:rsidRPr="0004375A">
        <w:rPr>
          <w:rFonts w:asciiTheme="minorHAnsi" w:hAnsiTheme="minorHAnsi" w:cstheme="minorHAnsi"/>
          <w:sz w:val="24"/>
        </w:rPr>
        <w:t xml:space="preserve"> es responsable de la implantación del SII en </w:t>
      </w:r>
      <w:r>
        <w:rPr>
          <w:rFonts w:asciiTheme="minorHAnsi" w:hAnsiTheme="minorHAnsi" w:cstheme="minorHAnsi"/>
          <w:sz w:val="24"/>
        </w:rPr>
        <w:t>RSI</w:t>
      </w:r>
      <w:r w:rsidRPr="0004375A">
        <w:rPr>
          <w:rFonts w:asciiTheme="minorHAnsi" w:hAnsiTheme="minorHAnsi" w:cstheme="minorHAnsi"/>
          <w:sz w:val="24"/>
        </w:rPr>
        <w:t>, así como de la designación de un Responsable del SII.</w:t>
      </w:r>
    </w:p>
    <w:p w14:paraId="7E5A278D" w14:textId="77777777" w:rsidR="0004375A" w:rsidRP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1E4BE37A" w14:textId="38786BCD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El Responsable del SII, podrá ser un Órgano Colegiado o una persona directiva dotada de autonomía e independencia suficiente, que debe asumir la gestión del SII y garantizar su eficacia.</w:t>
      </w:r>
    </w:p>
    <w:p w14:paraId="7ECC6099" w14:textId="77777777" w:rsidR="0004375A" w:rsidRP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606271E5" w14:textId="49F59D22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 xml:space="preserve">El SII debe generar la máxima confianza en las personas que quieran informar sobre acciones u omisiones contempladas en esta Política con el fin de convertirse en el cauce preferido para la comunicación de irregularidades.  </w:t>
      </w:r>
    </w:p>
    <w:p w14:paraId="6E9A036E" w14:textId="77777777" w:rsidR="0004375A" w:rsidRP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3BB84F55" w14:textId="73B229C7" w:rsid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Los principios fundamentales por los que se rige la Política de Información de irregularidades y Protección de los Informantes son los siguientes:</w:t>
      </w:r>
    </w:p>
    <w:p w14:paraId="14F9A1C5" w14:textId="77777777" w:rsidR="0004375A" w:rsidRPr="0004375A" w:rsidRDefault="0004375A" w:rsidP="0004375A">
      <w:pPr>
        <w:jc w:val="both"/>
        <w:rPr>
          <w:rFonts w:asciiTheme="minorHAnsi" w:hAnsiTheme="minorHAnsi" w:cstheme="minorHAnsi"/>
          <w:sz w:val="24"/>
        </w:rPr>
      </w:pPr>
    </w:p>
    <w:p w14:paraId="28C8545C" w14:textId="11084AC5" w:rsidR="0004375A" w:rsidRPr="00FF6701" w:rsidRDefault="0004375A" w:rsidP="00FF6701">
      <w:pPr>
        <w:pStyle w:val="Prrafodelista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</w:rPr>
      </w:pPr>
      <w:r w:rsidRPr="00FF6701">
        <w:rPr>
          <w:rFonts w:asciiTheme="minorHAnsi" w:hAnsiTheme="minorHAnsi" w:cstheme="minorHAnsi"/>
          <w:sz w:val="24"/>
        </w:rPr>
        <w:t>Garantizar la confidencialidad de la identidad o el anonimato de las personas que informan, impidiendo el acceso de personal no autorizado.</w:t>
      </w:r>
    </w:p>
    <w:p w14:paraId="28591727" w14:textId="114D9793" w:rsidR="0004375A" w:rsidRPr="00FF6701" w:rsidRDefault="0004375A" w:rsidP="00FF6701">
      <w:pPr>
        <w:pStyle w:val="Prrafodelista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</w:rPr>
      </w:pPr>
      <w:r w:rsidRPr="00FF6701">
        <w:rPr>
          <w:rFonts w:asciiTheme="minorHAnsi" w:hAnsiTheme="minorHAnsi" w:cstheme="minorHAnsi"/>
          <w:sz w:val="24"/>
        </w:rPr>
        <w:t>Protegerlas frente a posibles represalias, tentativas de represalia o amenazas de represalia</w:t>
      </w:r>
      <w:r w:rsidR="00FF6701" w:rsidRPr="00FF6701">
        <w:rPr>
          <w:rFonts w:asciiTheme="minorHAnsi" w:hAnsiTheme="minorHAnsi" w:cstheme="minorHAnsi"/>
          <w:sz w:val="24"/>
        </w:rPr>
        <w:t>.</w:t>
      </w:r>
    </w:p>
    <w:p w14:paraId="7CDA02D0" w14:textId="13D8BFDB" w:rsidR="0004375A" w:rsidRPr="0004375A" w:rsidRDefault="0004375A" w:rsidP="00FF6701">
      <w:pPr>
        <w:pStyle w:val="Prrafodelista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Salvaguardar los derechos de confidencialidad y defensa, la presunción de inocencia y el derecho al honor de los terceros que son objeto de información.</w:t>
      </w:r>
    </w:p>
    <w:p w14:paraId="52AAE8FC" w14:textId="268D45D4" w:rsidR="0004375A" w:rsidRPr="0004375A" w:rsidRDefault="0004375A" w:rsidP="00FF6701">
      <w:pPr>
        <w:pStyle w:val="Prrafodelista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Preservar la confidencialidad de las actuaciones de investigación y asegurar la protección de datos, impidiendo el acceso de personal no autorizado.</w:t>
      </w:r>
    </w:p>
    <w:p w14:paraId="01B8FC78" w14:textId="7E5FBA53" w:rsidR="0004375A" w:rsidRPr="0004375A" w:rsidRDefault="0004375A" w:rsidP="00FF6701">
      <w:pPr>
        <w:pStyle w:val="Prrafodelista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Facilitar el acceso de todos los informantes a canales internos de comunicación, a través de procedimientos adecuados presenciales, verbales o escritos.</w:t>
      </w:r>
    </w:p>
    <w:p w14:paraId="30BA30CE" w14:textId="599B9A6B" w:rsidR="0004375A" w:rsidRPr="0004375A" w:rsidRDefault="0004375A" w:rsidP="00FF6701">
      <w:pPr>
        <w:pStyle w:val="Prrafodelista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Garantizar que todas las comunicaciones serán objeto de tratamiento y, si procede, de investigación, denuncia a las autoridades o sanción.</w:t>
      </w:r>
    </w:p>
    <w:p w14:paraId="71EF24EE" w14:textId="514142C9" w:rsidR="0004375A" w:rsidRPr="0004375A" w:rsidRDefault="0004375A" w:rsidP="00FF6701">
      <w:pPr>
        <w:pStyle w:val="Prrafodelista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Asegurar la independencia de nuestro SII respecto del de otras organizaciones.</w:t>
      </w:r>
    </w:p>
    <w:p w14:paraId="7E68A3FC" w14:textId="2580124F" w:rsidR="0004375A" w:rsidRPr="0004375A" w:rsidRDefault="0004375A" w:rsidP="00FF6701">
      <w:pPr>
        <w:pStyle w:val="Prrafodelista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Integrar los diversos canales internos que se establezcan en la Entidad.</w:t>
      </w:r>
    </w:p>
    <w:p w14:paraId="0F67FF8C" w14:textId="134DDF52" w:rsidR="0004375A" w:rsidRPr="0004375A" w:rsidRDefault="0004375A" w:rsidP="00FF6701">
      <w:pPr>
        <w:pStyle w:val="Prrafodelista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Asegurar la autoridad e independencia del Responsable del SII de la Entidad.</w:t>
      </w:r>
    </w:p>
    <w:p w14:paraId="23C36139" w14:textId="1C1A43FD" w:rsidR="0004375A" w:rsidRPr="0004375A" w:rsidRDefault="0004375A" w:rsidP="00FF6701">
      <w:pPr>
        <w:pStyle w:val="Prrafodelista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 xml:space="preserve">Proporcionar apoyo formativo continuo a las personas bajo el ámbito de aplicación de la Política.  </w:t>
      </w:r>
    </w:p>
    <w:p w14:paraId="19758680" w14:textId="534F6AD6" w:rsidR="0004375A" w:rsidRPr="0004375A" w:rsidRDefault="0004375A" w:rsidP="00FF6701">
      <w:pPr>
        <w:pStyle w:val="Prrafodelista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Comprometerse con la mejora continua del SII a través de la supervisión y seguimiento del mismo.</w:t>
      </w:r>
    </w:p>
    <w:p w14:paraId="4CB59838" w14:textId="5B1BB2FC" w:rsidR="0004375A" w:rsidRPr="0004375A" w:rsidRDefault="0004375A" w:rsidP="00FF6701">
      <w:pPr>
        <w:pStyle w:val="Prrafodelista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Transmitir la responsabilidad de las personas físicas o jurídicas bajo el ámbito de aplicación de la presente Política respecto a facilitar las comunicaciones de los informantes, salvaguardar su confidencialidad e integridad frente a represalias, advirtiendo de las consecuencias del incumplimiento.</w:t>
      </w:r>
    </w:p>
    <w:p w14:paraId="6D9D6D44" w14:textId="3B46B355" w:rsidR="0004375A" w:rsidRPr="0004375A" w:rsidRDefault="0004375A" w:rsidP="00FF6701">
      <w:pPr>
        <w:pStyle w:val="Prrafodelista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</w:rPr>
      </w:pPr>
      <w:r w:rsidRPr="0004375A">
        <w:rPr>
          <w:rFonts w:asciiTheme="minorHAnsi" w:hAnsiTheme="minorHAnsi" w:cstheme="minorHAnsi"/>
          <w:sz w:val="24"/>
        </w:rPr>
        <w:t>Establecer la obligatoriedad para todos los empleados de la Entidad, de informar sobre hechos o conductas sospechosas de infracción administrativa o penal.</w:t>
      </w:r>
    </w:p>
    <w:p w14:paraId="656DF017" w14:textId="2972E276" w:rsidR="0004375A" w:rsidRDefault="0004375A" w:rsidP="00FF6701">
      <w:pPr>
        <w:pStyle w:val="Prrafodelista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</w:rPr>
      </w:pPr>
      <w:r w:rsidRPr="00FF6701">
        <w:rPr>
          <w:rFonts w:asciiTheme="minorHAnsi" w:hAnsiTheme="minorHAnsi" w:cstheme="minorHAnsi"/>
          <w:sz w:val="24"/>
        </w:rPr>
        <w:t>Aplicar el régimen disciplinario ante incumplimientos internos vinculados a posibles ilícitos en atención a la normativa interna y legal de aplicación, así como en relación a su SII y a su correspondiente Política.</w:t>
      </w:r>
    </w:p>
    <w:p w14:paraId="37668E7A" w14:textId="06B4AF7D" w:rsidR="00FF6701" w:rsidRDefault="00FF6701" w:rsidP="00FF6701">
      <w:pPr>
        <w:jc w:val="both"/>
      </w:pPr>
    </w:p>
    <w:p w14:paraId="5CBD10B8" w14:textId="4C91B5E1" w:rsidR="00FF6701" w:rsidRPr="00BA274D" w:rsidRDefault="00FF6701" w:rsidP="00FF6701">
      <w:pPr>
        <w:jc w:val="center"/>
        <w:rPr>
          <w:rFonts w:asciiTheme="minorHAnsi" w:hAnsiTheme="minorHAnsi" w:cstheme="minorHAnsi"/>
          <w:sz w:val="24"/>
        </w:rPr>
      </w:pPr>
      <w:r w:rsidRPr="00BA274D">
        <w:rPr>
          <w:rFonts w:asciiTheme="minorHAnsi" w:hAnsiTheme="minorHAnsi" w:cstheme="minorHAnsi"/>
          <w:sz w:val="24"/>
        </w:rPr>
        <w:t>***</w:t>
      </w:r>
    </w:p>
    <w:sectPr w:rsidR="00FF6701" w:rsidRPr="00BA274D" w:rsidSect="001C1945">
      <w:headerReference w:type="default" r:id="rId11"/>
      <w:footerReference w:type="default" r:id="rId12"/>
      <w:headerReference w:type="first" r:id="rId13"/>
      <w:pgSz w:w="11906" w:h="16838" w:code="9"/>
      <w:pgMar w:top="1440" w:right="1440" w:bottom="1440" w:left="1440" w:header="680" w:footer="72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26D9D" w14:textId="77777777" w:rsidR="00C95BB8" w:rsidRDefault="00C95BB8">
      <w:r>
        <w:separator/>
      </w:r>
    </w:p>
  </w:endnote>
  <w:endnote w:type="continuationSeparator" w:id="0">
    <w:p w14:paraId="07B54B1E" w14:textId="77777777" w:rsidR="00C95BB8" w:rsidRDefault="00C95BB8">
      <w:r>
        <w:continuationSeparator/>
      </w:r>
    </w:p>
  </w:endnote>
  <w:endnote w:type="continuationNotice" w:id="1">
    <w:p w14:paraId="59ED30FE" w14:textId="77777777" w:rsidR="00C95BB8" w:rsidRDefault="00C95B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C4049" w14:textId="77777777" w:rsidR="001A25D1" w:rsidRPr="001A25D1" w:rsidRDefault="001A25D1">
    <w:pPr>
      <w:rPr>
        <w:rFonts w:asciiTheme="minorHAnsi" w:hAnsiTheme="minorHAnsi" w:cstheme="minorHAnsi"/>
      </w:rPr>
    </w:pPr>
  </w:p>
  <w:tbl>
    <w:tblPr>
      <w:tblW w:w="0" w:type="auto"/>
      <w:tblLook w:val="04A0" w:firstRow="1" w:lastRow="0" w:firstColumn="1" w:lastColumn="0" w:noHBand="0" w:noVBand="1"/>
    </w:tblPr>
    <w:tblGrid>
      <w:gridCol w:w="4552"/>
      <w:gridCol w:w="4474"/>
    </w:tblGrid>
    <w:tr w:rsidR="00777B67" w:rsidRPr="00777B67" w14:paraId="614C404C" w14:textId="77777777" w:rsidTr="00777B67">
      <w:tc>
        <w:tcPr>
          <w:tcW w:w="4552" w:type="dxa"/>
          <w:shd w:val="clear" w:color="auto" w:fill="auto"/>
        </w:tcPr>
        <w:p w14:paraId="614C404A" w14:textId="7D16DFD0" w:rsidR="00777B67" w:rsidRPr="00777B67" w:rsidRDefault="00777B67" w:rsidP="00777B67">
          <w:pPr>
            <w:tabs>
              <w:tab w:val="center" w:pos="2977"/>
              <w:tab w:val="right" w:pos="9360"/>
            </w:tabs>
            <w:ind w:right="-308"/>
            <w:rPr>
              <w:rFonts w:ascii="Calibri" w:eastAsia="Arial" w:hAnsi="Calibri" w:cs="Arial"/>
              <w:color w:val="000000"/>
              <w:sz w:val="24"/>
              <w:szCs w:val="22"/>
            </w:rPr>
          </w:pPr>
          <w:r w:rsidRPr="00777B67">
            <w:rPr>
              <w:rFonts w:ascii="Calibri" w:eastAsia="Arial" w:hAnsi="Calibri" w:cs="Arial"/>
              <w:color w:val="000000"/>
              <w:sz w:val="24"/>
              <w:szCs w:val="22"/>
            </w:rPr>
            <w:t>Tipo de documento: Pú</w:t>
          </w:r>
          <w:r w:rsidR="0004375A">
            <w:rPr>
              <w:rFonts w:ascii="Calibri" w:eastAsia="Arial" w:hAnsi="Calibri" w:cs="Arial"/>
              <w:color w:val="000000"/>
              <w:sz w:val="24"/>
              <w:szCs w:val="22"/>
            </w:rPr>
            <w:t>blica</w:t>
          </w:r>
        </w:p>
      </w:tc>
      <w:tc>
        <w:tcPr>
          <w:tcW w:w="4474" w:type="dxa"/>
          <w:shd w:val="clear" w:color="auto" w:fill="auto"/>
        </w:tcPr>
        <w:p w14:paraId="614C404B" w14:textId="6F3EDD22" w:rsidR="00777B67" w:rsidRPr="00777B67" w:rsidRDefault="00777B67" w:rsidP="00777B67">
          <w:pPr>
            <w:tabs>
              <w:tab w:val="center" w:pos="4680"/>
              <w:tab w:val="right" w:pos="9360"/>
            </w:tabs>
            <w:jc w:val="right"/>
            <w:rPr>
              <w:rFonts w:ascii="Calibri" w:eastAsia="Arial" w:hAnsi="Calibri" w:cs="Arial"/>
              <w:color w:val="000000"/>
              <w:sz w:val="24"/>
              <w:szCs w:val="22"/>
            </w:rPr>
          </w:pPr>
          <w:r w:rsidRPr="00777B67">
            <w:rPr>
              <w:rFonts w:ascii="Calibri" w:eastAsia="Arial" w:hAnsi="Calibri" w:cs="Arial"/>
              <w:color w:val="000000"/>
              <w:sz w:val="24"/>
              <w:szCs w:val="22"/>
            </w:rPr>
            <w:fldChar w:fldCharType="begin"/>
          </w:r>
          <w:r w:rsidRPr="00777B67">
            <w:rPr>
              <w:rFonts w:ascii="Calibri" w:eastAsia="Arial" w:hAnsi="Calibri" w:cs="Arial"/>
              <w:color w:val="000000"/>
              <w:sz w:val="24"/>
              <w:szCs w:val="22"/>
            </w:rPr>
            <w:instrText>PAGE   \* MERGEFORMAT</w:instrText>
          </w:r>
          <w:r w:rsidRPr="00777B67">
            <w:rPr>
              <w:rFonts w:ascii="Calibri" w:eastAsia="Arial" w:hAnsi="Calibri" w:cs="Arial"/>
              <w:color w:val="000000"/>
              <w:sz w:val="24"/>
              <w:szCs w:val="22"/>
            </w:rPr>
            <w:fldChar w:fldCharType="separate"/>
          </w:r>
          <w:r w:rsidR="00746B1B">
            <w:rPr>
              <w:rFonts w:ascii="Calibri" w:eastAsia="Arial" w:hAnsi="Calibri" w:cs="Arial"/>
              <w:noProof/>
              <w:color w:val="000000"/>
              <w:sz w:val="24"/>
              <w:szCs w:val="22"/>
            </w:rPr>
            <w:t>8</w:t>
          </w:r>
          <w:r w:rsidRPr="00777B67">
            <w:rPr>
              <w:rFonts w:ascii="Calibri" w:eastAsia="Arial" w:hAnsi="Calibri" w:cs="Arial"/>
              <w:color w:val="000000"/>
              <w:sz w:val="24"/>
              <w:szCs w:val="22"/>
            </w:rPr>
            <w:fldChar w:fldCharType="end"/>
          </w:r>
        </w:p>
      </w:tc>
    </w:tr>
  </w:tbl>
  <w:p w14:paraId="614C404D" w14:textId="77777777" w:rsidR="00777B67" w:rsidRDefault="00777B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54ABF" w14:textId="77777777" w:rsidR="00C95BB8" w:rsidRDefault="00C95BB8">
      <w:r>
        <w:separator/>
      </w:r>
    </w:p>
  </w:footnote>
  <w:footnote w:type="continuationSeparator" w:id="0">
    <w:p w14:paraId="0297A8B2" w14:textId="77777777" w:rsidR="00C95BB8" w:rsidRDefault="00C95BB8">
      <w:r>
        <w:continuationSeparator/>
      </w:r>
    </w:p>
  </w:footnote>
  <w:footnote w:type="continuationNotice" w:id="1">
    <w:p w14:paraId="28C95E1B" w14:textId="77777777" w:rsidR="00C95BB8" w:rsidRDefault="00C95BB8"/>
  </w:footnote>
  <w:footnote w:id="2">
    <w:p w14:paraId="332A7B80" w14:textId="015AD270" w:rsidR="0004375A" w:rsidRPr="0004375A" w:rsidRDefault="0004375A">
      <w:pPr>
        <w:pStyle w:val="Textonotapie"/>
        <w:rPr>
          <w:rFonts w:asciiTheme="minorHAnsi" w:hAnsiTheme="minorHAnsi" w:cstheme="minorHAnsi"/>
          <w:sz w:val="16"/>
          <w:szCs w:val="16"/>
        </w:rPr>
      </w:pPr>
      <w:r w:rsidRPr="0004375A">
        <w:rPr>
          <w:rStyle w:val="Refdenotaalpie"/>
          <w:rFonts w:asciiTheme="minorHAnsi" w:hAnsiTheme="minorHAnsi" w:cstheme="minorHAnsi"/>
          <w:sz w:val="16"/>
          <w:szCs w:val="16"/>
        </w:rPr>
        <w:footnoteRef/>
      </w:r>
      <w:r w:rsidRPr="0004375A">
        <w:rPr>
          <w:rFonts w:asciiTheme="minorHAnsi" w:hAnsiTheme="minorHAnsi" w:cstheme="minorHAnsi"/>
          <w:sz w:val="16"/>
          <w:szCs w:val="16"/>
        </w:rPr>
        <w:t xml:space="preserve"> </w:t>
      </w:r>
      <w:r w:rsidRPr="0004375A">
        <w:rPr>
          <w:rFonts w:asciiTheme="minorHAnsi" w:hAnsiTheme="minorHAnsi" w:cstheme="minorHAnsi"/>
          <w:color w:val="49484A"/>
          <w:sz w:val="16"/>
          <w:szCs w:val="16"/>
        </w:rPr>
        <w:t>Información relativa a materia clasificada como secreta o confidencial, cuya revelación puede causar perjuicio al titular de la información, especialmente si se trata de información que puede afectar a la seguridad del Estado. Por tal motivo, se encuentra restringida por las leyes o regulada para clases particulares de personas.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C4045" w14:textId="77777777" w:rsidR="00996F49" w:rsidRDefault="00996F49" w:rsidP="00E74F77">
    <w:pPr>
      <w:spacing w:line="288" w:lineRule="auto"/>
    </w:pPr>
    <w:r>
      <w:rPr>
        <w:noProof/>
      </w:rPr>
      <w:drawing>
        <wp:anchor distT="0" distB="0" distL="0" distR="0" simplePos="0" relativeHeight="251658241" behindDoc="0" locked="0" layoutInCell="1" allowOverlap="1" wp14:anchorId="614C404F" wp14:editId="614C4050">
          <wp:simplePos x="0" y="0"/>
          <wp:positionH relativeFrom="column">
            <wp:posOffset>-904875</wp:posOffset>
          </wp:positionH>
          <wp:positionV relativeFrom="paragraph">
            <wp:posOffset>-419100</wp:posOffset>
          </wp:positionV>
          <wp:extent cx="914400" cy="861060"/>
          <wp:effectExtent l="0" t="0" r="0" b="0"/>
          <wp:wrapSquare wrapText="bothSides"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645" b="2777"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61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14C4051" wp14:editId="614C4052">
          <wp:extent cx="1000125" cy="704850"/>
          <wp:effectExtent l="0" t="0" r="9525" b="0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76665238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4C4046" w14:textId="356FEF54" w:rsidR="00996F49" w:rsidRDefault="00421550" w:rsidP="00421550">
    <w:pPr>
      <w:pStyle w:val="Ttulo"/>
      <w:jc w:val="both"/>
      <w:rPr>
        <w:sz w:val="40"/>
        <w:szCs w:val="40"/>
      </w:rPr>
    </w:pPr>
    <w:r>
      <w:t>Información de i</w:t>
    </w:r>
    <w:r w:rsidR="0004375A">
      <w:t>rregularidades</w:t>
    </w:r>
    <w:r>
      <w:t xml:space="preserve"> y protección de los informantes</w:t>
    </w:r>
  </w:p>
  <w:p w14:paraId="614C4047" w14:textId="773610C6" w:rsidR="00996F49" w:rsidRDefault="00EA6EF6" w:rsidP="00852604">
    <w:pPr>
      <w:pStyle w:val="Ttulo"/>
      <w:rPr>
        <w:sz w:val="28"/>
        <w:szCs w:val="28"/>
      </w:rPr>
    </w:pPr>
    <w:r>
      <w:rPr>
        <w:sz w:val="36"/>
        <w:szCs w:val="36"/>
      </w:rPr>
      <w:t>PL2</w:t>
    </w:r>
    <w:r w:rsidR="00760BAE">
      <w:rPr>
        <w:sz w:val="36"/>
        <w:szCs w:val="36"/>
      </w:rPr>
      <w:t>2</w:t>
    </w:r>
    <w:r w:rsidR="00996F49" w:rsidRPr="00A342D3">
      <w:rPr>
        <w:sz w:val="36"/>
        <w:szCs w:val="36"/>
      </w:rPr>
      <w:t>-V0</w:t>
    </w:r>
    <w:r w:rsidR="0004375A">
      <w:rPr>
        <w:sz w:val="36"/>
        <w:szCs w:val="36"/>
      </w:rPr>
      <w:t>1</w:t>
    </w:r>
    <w:r w:rsidR="00996F49">
      <w:rPr>
        <w:sz w:val="36"/>
        <w:szCs w:val="36"/>
      </w:rPr>
      <w:tab/>
    </w:r>
    <w:r w:rsidR="000A08B9">
      <w:rPr>
        <w:sz w:val="36"/>
        <w:szCs w:val="36"/>
      </w:rPr>
      <w:t>-R01</w:t>
    </w:r>
    <w:r w:rsidR="00996F49">
      <w:rPr>
        <w:sz w:val="36"/>
        <w:szCs w:val="36"/>
      </w:rPr>
      <w:tab/>
    </w:r>
    <w:r w:rsidR="00996F49">
      <w:rPr>
        <w:sz w:val="36"/>
        <w:szCs w:val="36"/>
      </w:rPr>
      <w:tab/>
    </w:r>
    <w:r w:rsidR="00996F49">
      <w:rPr>
        <w:sz w:val="36"/>
        <w:szCs w:val="36"/>
      </w:rPr>
      <w:tab/>
    </w:r>
    <w:r>
      <w:rPr>
        <w:sz w:val="36"/>
        <w:szCs w:val="36"/>
      </w:rPr>
      <w:tab/>
    </w:r>
    <w:r>
      <w:rPr>
        <w:sz w:val="36"/>
        <w:szCs w:val="36"/>
      </w:rPr>
      <w:tab/>
    </w:r>
    <w:r>
      <w:rPr>
        <w:sz w:val="36"/>
        <w:szCs w:val="36"/>
      </w:rPr>
      <w:tab/>
      <w:t xml:space="preserve">       </w:t>
    </w:r>
    <w:r w:rsidR="0004375A">
      <w:rPr>
        <w:sz w:val="28"/>
        <w:szCs w:val="28"/>
      </w:rPr>
      <w:t>Compliance Tecnológico</w:t>
    </w:r>
  </w:p>
  <w:p w14:paraId="614C4048" w14:textId="77777777" w:rsidR="00C5721F" w:rsidRPr="00C5721F" w:rsidRDefault="00C5721F" w:rsidP="00C5721F">
    <w:pPr>
      <w:rPr>
        <w:rFonts w:asciiTheme="minorHAnsi" w:hAnsiTheme="minorHAnsi" w:cstheme="minorHAnsi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C404E" w14:textId="77777777" w:rsidR="00483B56" w:rsidRDefault="00483B56" w:rsidP="00483B56">
    <w:pPr>
      <w:pStyle w:val="Encabezado"/>
      <w:ind w:left="-284"/>
    </w:pPr>
    <w:r>
      <w:rPr>
        <w:noProof/>
      </w:rPr>
      <w:drawing>
        <wp:anchor distT="0" distB="0" distL="0" distR="0" simplePos="0" relativeHeight="251658240" behindDoc="0" locked="0" layoutInCell="1" allowOverlap="1" wp14:anchorId="614C4053" wp14:editId="614C4054">
          <wp:simplePos x="0" y="0"/>
          <wp:positionH relativeFrom="column">
            <wp:posOffset>-904875</wp:posOffset>
          </wp:positionH>
          <wp:positionV relativeFrom="paragraph">
            <wp:posOffset>-422275</wp:posOffset>
          </wp:positionV>
          <wp:extent cx="914400" cy="861060"/>
          <wp:effectExtent l="0" t="0" r="0" b="0"/>
          <wp:wrapSquare wrapText="bothSides"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645" b="2777"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61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14C4055" wp14:editId="614C4056">
          <wp:extent cx="1000125" cy="704850"/>
          <wp:effectExtent l="0" t="0" r="9525" b="0"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76665238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405B1"/>
    <w:multiLevelType w:val="hybridMultilevel"/>
    <w:tmpl w:val="11044B62"/>
    <w:lvl w:ilvl="0" w:tplc="6340F9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FF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63CC6"/>
    <w:multiLevelType w:val="hybridMultilevel"/>
    <w:tmpl w:val="6D724C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817560"/>
    <w:multiLevelType w:val="hybridMultilevel"/>
    <w:tmpl w:val="7C0C50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FF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00407"/>
    <w:multiLevelType w:val="hybridMultilevel"/>
    <w:tmpl w:val="7CBA7D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C869F9"/>
    <w:multiLevelType w:val="hybridMultilevel"/>
    <w:tmpl w:val="72B4D728"/>
    <w:lvl w:ilvl="0" w:tplc="6340F9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FF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BD26D7"/>
    <w:multiLevelType w:val="hybridMultilevel"/>
    <w:tmpl w:val="5FC81264"/>
    <w:lvl w:ilvl="0" w:tplc="6340F9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FF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50CED"/>
    <w:multiLevelType w:val="hybridMultilevel"/>
    <w:tmpl w:val="04C8A478"/>
    <w:lvl w:ilvl="0" w:tplc="6340F9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FF0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442BF"/>
    <w:multiLevelType w:val="multilevel"/>
    <w:tmpl w:val="637058AC"/>
    <w:lvl w:ilvl="0">
      <w:start w:val="1"/>
      <w:numFmt w:val="decimal"/>
      <w:lvlText w:val="%1."/>
      <w:lvlJc w:val="left"/>
      <w:pPr>
        <w:tabs>
          <w:tab w:val="num" w:pos="992"/>
        </w:tabs>
        <w:ind w:left="992" w:hanging="99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99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476E0FD7"/>
    <w:multiLevelType w:val="multilevel"/>
    <w:tmpl w:val="88DE3FA0"/>
    <w:lvl w:ilvl="0">
      <w:start w:val="1"/>
      <w:numFmt w:val="decimal"/>
      <w:pStyle w:val="Ttulo1"/>
      <w:suff w:val="space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44"/>
      </w:rPr>
    </w:lvl>
    <w:lvl w:ilvl="1">
      <w:start w:val="1"/>
      <w:numFmt w:val="decimal"/>
      <w:pStyle w:val="Ttulo2"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pStyle w:val="Ttulo3"/>
      <w:suff w:val="space"/>
      <w:lvlText w:val="%1.%2.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Ttulo4"/>
      <w:suff w:val="space"/>
      <w:lvlText w:val="%1.%2.%3.%4.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pStyle w:val="Ttulo5"/>
      <w:suff w:val="space"/>
      <w:lvlText w:val="%1.%2.%3.%4.%5."/>
      <w:lvlJc w:val="left"/>
      <w:pPr>
        <w:ind w:left="1800" w:hanging="360"/>
      </w:pPr>
      <w:rPr>
        <w:rFonts w:hint="default"/>
      </w:rPr>
    </w:lvl>
    <w:lvl w:ilvl="5">
      <w:start w:val="1"/>
      <w:numFmt w:val="decimal"/>
      <w:pStyle w:val="Ttulo6"/>
      <w:suff w:val="space"/>
      <w:lvlText w:val="%1.%2.%3.%4.%5.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9364F8C"/>
    <w:multiLevelType w:val="hybridMultilevel"/>
    <w:tmpl w:val="C23AC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FF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C0159D"/>
    <w:multiLevelType w:val="hybridMultilevel"/>
    <w:tmpl w:val="CCC65484"/>
    <w:lvl w:ilvl="0" w:tplc="6340F9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FF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A30512"/>
    <w:multiLevelType w:val="hybridMultilevel"/>
    <w:tmpl w:val="D05877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8E3B48"/>
    <w:multiLevelType w:val="hybridMultilevel"/>
    <w:tmpl w:val="F10606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9154B1"/>
    <w:multiLevelType w:val="hybridMultilevel"/>
    <w:tmpl w:val="C5967D92"/>
    <w:lvl w:ilvl="0" w:tplc="6340F9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FF0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082650"/>
    <w:multiLevelType w:val="hybridMultilevel"/>
    <w:tmpl w:val="016CC6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3A3929"/>
    <w:multiLevelType w:val="hybridMultilevel"/>
    <w:tmpl w:val="193A12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466983">
    <w:abstractNumId w:val="7"/>
  </w:num>
  <w:num w:numId="2" w16cid:durableId="516047234">
    <w:abstractNumId w:val="8"/>
  </w:num>
  <w:num w:numId="3" w16cid:durableId="1615552719">
    <w:abstractNumId w:val="4"/>
  </w:num>
  <w:num w:numId="4" w16cid:durableId="1829512529">
    <w:abstractNumId w:val="5"/>
  </w:num>
  <w:num w:numId="5" w16cid:durableId="2117556443">
    <w:abstractNumId w:val="10"/>
  </w:num>
  <w:num w:numId="6" w16cid:durableId="1592740809">
    <w:abstractNumId w:val="13"/>
  </w:num>
  <w:num w:numId="7" w16cid:durableId="2053383421">
    <w:abstractNumId w:val="0"/>
  </w:num>
  <w:num w:numId="8" w16cid:durableId="741607669">
    <w:abstractNumId w:val="6"/>
  </w:num>
  <w:num w:numId="9" w16cid:durableId="2061128448">
    <w:abstractNumId w:val="2"/>
  </w:num>
  <w:num w:numId="10" w16cid:durableId="626934034">
    <w:abstractNumId w:val="9"/>
  </w:num>
  <w:num w:numId="11" w16cid:durableId="451050863">
    <w:abstractNumId w:val="3"/>
  </w:num>
  <w:num w:numId="12" w16cid:durableId="1863476501">
    <w:abstractNumId w:val="11"/>
  </w:num>
  <w:num w:numId="13" w16cid:durableId="286742509">
    <w:abstractNumId w:val="15"/>
  </w:num>
  <w:num w:numId="14" w16cid:durableId="1309629252">
    <w:abstractNumId w:val="12"/>
  </w:num>
  <w:num w:numId="15" w16cid:durableId="898587488">
    <w:abstractNumId w:val="1"/>
  </w:num>
  <w:num w:numId="16" w16cid:durableId="2124687496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08"/>
  <w:hyphenationZone w:val="425"/>
  <w:noPunctuationKerning/>
  <w:characterSpacingControl w:val="doNotCompress"/>
  <w:savePreviewPicture/>
  <w:hdrShapeDefaults>
    <o:shapedefaults v:ext="edit" spidmax="2050" style="mso-position-vertical-relative:page" o:allowincell="f" fillcolor="silver">
      <v:fill color="silver" opacity=".5"/>
      <v:stroke weight=".25pt"/>
      <v:shadow color="#868686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89B"/>
    <w:rsid w:val="000142E2"/>
    <w:rsid w:val="00015DA0"/>
    <w:rsid w:val="00033211"/>
    <w:rsid w:val="0004375A"/>
    <w:rsid w:val="00084651"/>
    <w:rsid w:val="000A08B9"/>
    <w:rsid w:val="000C2FA2"/>
    <w:rsid w:val="000F21B0"/>
    <w:rsid w:val="001023C0"/>
    <w:rsid w:val="00120666"/>
    <w:rsid w:val="001471E1"/>
    <w:rsid w:val="001650E7"/>
    <w:rsid w:val="001806FA"/>
    <w:rsid w:val="001947F7"/>
    <w:rsid w:val="001A25D1"/>
    <w:rsid w:val="001C1945"/>
    <w:rsid w:val="001D5BD0"/>
    <w:rsid w:val="001E65D6"/>
    <w:rsid w:val="002207F6"/>
    <w:rsid w:val="00235D57"/>
    <w:rsid w:val="002E076A"/>
    <w:rsid w:val="00306226"/>
    <w:rsid w:val="00351AF2"/>
    <w:rsid w:val="003E4989"/>
    <w:rsid w:val="00416627"/>
    <w:rsid w:val="00421550"/>
    <w:rsid w:val="0047189B"/>
    <w:rsid w:val="00475C4A"/>
    <w:rsid w:val="00482A31"/>
    <w:rsid w:val="00483B56"/>
    <w:rsid w:val="004E6759"/>
    <w:rsid w:val="004F1A73"/>
    <w:rsid w:val="00501C7E"/>
    <w:rsid w:val="00525258"/>
    <w:rsid w:val="00544728"/>
    <w:rsid w:val="00544AEB"/>
    <w:rsid w:val="005738D3"/>
    <w:rsid w:val="00606BE7"/>
    <w:rsid w:val="00620476"/>
    <w:rsid w:val="00683B94"/>
    <w:rsid w:val="00712718"/>
    <w:rsid w:val="00723941"/>
    <w:rsid w:val="00746B1B"/>
    <w:rsid w:val="00756DBB"/>
    <w:rsid w:val="00760BAE"/>
    <w:rsid w:val="00777B67"/>
    <w:rsid w:val="007A2F85"/>
    <w:rsid w:val="007B2F81"/>
    <w:rsid w:val="007C0A7D"/>
    <w:rsid w:val="007D3C7B"/>
    <w:rsid w:val="007E201D"/>
    <w:rsid w:val="00842947"/>
    <w:rsid w:val="00852604"/>
    <w:rsid w:val="00871CDB"/>
    <w:rsid w:val="00895244"/>
    <w:rsid w:val="008A1C80"/>
    <w:rsid w:val="008C710A"/>
    <w:rsid w:val="00996F49"/>
    <w:rsid w:val="009C0C75"/>
    <w:rsid w:val="00AA382B"/>
    <w:rsid w:val="00AD7820"/>
    <w:rsid w:val="00AF756A"/>
    <w:rsid w:val="00B05015"/>
    <w:rsid w:val="00B2457F"/>
    <w:rsid w:val="00B32C85"/>
    <w:rsid w:val="00B47D74"/>
    <w:rsid w:val="00B646ED"/>
    <w:rsid w:val="00B831EB"/>
    <w:rsid w:val="00B85477"/>
    <w:rsid w:val="00BA274D"/>
    <w:rsid w:val="00BE4A6D"/>
    <w:rsid w:val="00BF2ADD"/>
    <w:rsid w:val="00C37B84"/>
    <w:rsid w:val="00C5721F"/>
    <w:rsid w:val="00C61EE4"/>
    <w:rsid w:val="00C95BB8"/>
    <w:rsid w:val="00D00287"/>
    <w:rsid w:val="00D021D7"/>
    <w:rsid w:val="00D7672B"/>
    <w:rsid w:val="00D97202"/>
    <w:rsid w:val="00DF08DD"/>
    <w:rsid w:val="00E734B6"/>
    <w:rsid w:val="00E74F77"/>
    <w:rsid w:val="00E85D8C"/>
    <w:rsid w:val="00EA3C56"/>
    <w:rsid w:val="00EA6EF6"/>
    <w:rsid w:val="00F412A3"/>
    <w:rsid w:val="00F938D3"/>
    <w:rsid w:val="00FC13D9"/>
    <w:rsid w:val="00FE65D4"/>
    <w:rsid w:val="00FF03D3"/>
    <w:rsid w:val="00FF6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vertical-relative:page" o:allowincell="f" fillcolor="silver">
      <v:fill color="silver" opacity=".5"/>
      <v:stroke weight=".25pt"/>
      <v:shadow color="#868686"/>
    </o:shapedefaults>
    <o:shapelayout v:ext="edit">
      <o:idmap v:ext="edit" data="2"/>
    </o:shapelayout>
  </w:shapeDefaults>
  <w:decimalSymbol w:val=","/>
  <w:listSeparator w:val=";"/>
  <w14:docId w14:val="614C3FBF"/>
  <w15:chartTrackingRefBased/>
  <w15:docId w15:val="{4FDB049D-7847-4B00-9E36-394EE8FB5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hAnsi="Tahoma"/>
      <w:szCs w:val="24"/>
    </w:rPr>
  </w:style>
  <w:style w:type="paragraph" w:styleId="Ttulo1">
    <w:name w:val="heading 1"/>
    <w:basedOn w:val="Normal"/>
    <w:next w:val="Normal"/>
    <w:qFormat/>
    <w:rsid w:val="004E6759"/>
    <w:pPr>
      <w:keepNext/>
      <w:numPr>
        <w:numId w:val="2"/>
      </w:numPr>
      <w:pBdr>
        <w:bottom w:val="single" w:sz="4" w:space="1" w:color="auto"/>
      </w:pBdr>
      <w:spacing w:before="120"/>
      <w:jc w:val="both"/>
      <w:outlineLvl w:val="0"/>
    </w:pPr>
    <w:rPr>
      <w:rFonts w:ascii="Calibri" w:hAnsi="Calibri"/>
      <w:sz w:val="44"/>
      <w:szCs w:val="20"/>
    </w:rPr>
  </w:style>
  <w:style w:type="paragraph" w:styleId="Ttulo2">
    <w:name w:val="heading 2"/>
    <w:basedOn w:val="Normal"/>
    <w:next w:val="Normal"/>
    <w:qFormat/>
    <w:rsid w:val="00C5721F"/>
    <w:pPr>
      <w:keepNext/>
      <w:numPr>
        <w:ilvl w:val="1"/>
        <w:numId w:val="2"/>
      </w:numPr>
      <w:spacing w:before="120" w:after="120"/>
      <w:ind w:left="357" w:hanging="357"/>
      <w:jc w:val="both"/>
      <w:outlineLvl w:val="1"/>
    </w:pPr>
    <w:rPr>
      <w:rFonts w:ascii="Calibri" w:hAnsi="Calibri"/>
      <w:sz w:val="36"/>
      <w:szCs w:val="20"/>
    </w:rPr>
  </w:style>
  <w:style w:type="paragraph" w:styleId="Ttulo3">
    <w:name w:val="heading 3"/>
    <w:basedOn w:val="Normal"/>
    <w:next w:val="Normal"/>
    <w:qFormat/>
    <w:rsid w:val="00C5721F"/>
    <w:pPr>
      <w:keepNext/>
      <w:numPr>
        <w:ilvl w:val="2"/>
        <w:numId w:val="2"/>
      </w:numPr>
      <w:spacing w:before="120" w:after="120"/>
      <w:ind w:left="357" w:hanging="357"/>
      <w:jc w:val="both"/>
      <w:outlineLvl w:val="2"/>
    </w:pPr>
    <w:rPr>
      <w:rFonts w:ascii="Calibri" w:hAnsi="Calibri"/>
      <w:sz w:val="32"/>
      <w:szCs w:val="20"/>
    </w:rPr>
  </w:style>
  <w:style w:type="paragraph" w:styleId="Ttulo4">
    <w:name w:val="heading 4"/>
    <w:basedOn w:val="Ttulo3"/>
    <w:next w:val="Normal"/>
    <w:qFormat/>
    <w:rsid w:val="00C5721F"/>
    <w:pPr>
      <w:numPr>
        <w:ilvl w:val="3"/>
      </w:numPr>
      <w:tabs>
        <w:tab w:val="left" w:pos="1134"/>
      </w:tabs>
      <w:ind w:left="357" w:hanging="357"/>
      <w:outlineLvl w:val="3"/>
    </w:pPr>
    <w:rPr>
      <w:sz w:val="28"/>
    </w:rPr>
  </w:style>
  <w:style w:type="paragraph" w:styleId="Ttulo5">
    <w:name w:val="heading 5"/>
    <w:basedOn w:val="Normal"/>
    <w:next w:val="Normal"/>
    <w:qFormat/>
    <w:rsid w:val="00C5721F"/>
    <w:pPr>
      <w:numPr>
        <w:ilvl w:val="4"/>
        <w:numId w:val="2"/>
      </w:numPr>
      <w:spacing w:before="120" w:after="120"/>
      <w:ind w:left="357" w:hanging="357"/>
      <w:jc w:val="both"/>
      <w:outlineLvl w:val="4"/>
    </w:pPr>
    <w:rPr>
      <w:rFonts w:ascii="Calibri" w:hAnsi="Calibri"/>
      <w:sz w:val="24"/>
      <w:szCs w:val="20"/>
    </w:rPr>
  </w:style>
  <w:style w:type="paragraph" w:styleId="Ttulo6">
    <w:name w:val="heading 6"/>
    <w:basedOn w:val="Normal"/>
    <w:next w:val="Normal"/>
    <w:qFormat/>
    <w:rsid w:val="00C5721F"/>
    <w:pPr>
      <w:numPr>
        <w:ilvl w:val="5"/>
        <w:numId w:val="2"/>
      </w:numPr>
      <w:tabs>
        <w:tab w:val="left" w:pos="2835"/>
      </w:tabs>
      <w:spacing w:before="120" w:after="120"/>
      <w:ind w:left="357" w:hanging="357"/>
      <w:jc w:val="both"/>
      <w:outlineLvl w:val="5"/>
    </w:pPr>
    <w:rPr>
      <w:rFonts w:ascii="Calibri" w:hAnsi="Calibri"/>
      <w:sz w:val="24"/>
      <w:szCs w:val="20"/>
    </w:rPr>
  </w:style>
  <w:style w:type="paragraph" w:styleId="Ttulo7">
    <w:name w:val="heading 7"/>
    <w:basedOn w:val="Normal"/>
    <w:next w:val="Normal"/>
    <w:pPr>
      <w:numPr>
        <w:ilvl w:val="6"/>
        <w:numId w:val="1"/>
      </w:numPr>
      <w:tabs>
        <w:tab w:val="clear" w:pos="1440"/>
      </w:tabs>
      <w:spacing w:before="240" w:after="60"/>
      <w:ind w:left="1247" w:hanging="1247"/>
      <w:jc w:val="both"/>
      <w:outlineLvl w:val="6"/>
    </w:pPr>
    <w:rPr>
      <w:i/>
      <w:szCs w:val="20"/>
    </w:rPr>
  </w:style>
  <w:style w:type="paragraph" w:styleId="Ttulo8">
    <w:name w:val="heading 8"/>
    <w:basedOn w:val="Normal"/>
    <w:next w:val="Normal"/>
    <w:pPr>
      <w:keepNext/>
      <w:outlineLvl w:val="7"/>
    </w:pPr>
    <w:rPr>
      <w:bCs/>
      <w:i/>
    </w:rPr>
  </w:style>
  <w:style w:type="paragraph" w:styleId="Ttulo9">
    <w:name w:val="heading 9"/>
    <w:basedOn w:val="Normal"/>
    <w:next w:val="Normal"/>
    <w:pPr>
      <w:keepNext/>
      <w:outlineLvl w:val="8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TDC1">
    <w:name w:val="toc 1"/>
    <w:basedOn w:val="Normal"/>
    <w:next w:val="Normal"/>
    <w:autoRedefine/>
    <w:uiPriority w:val="39"/>
    <w:rsid w:val="00756DBB"/>
    <w:pPr>
      <w:spacing w:before="120" w:after="120"/>
    </w:pPr>
    <w:rPr>
      <w:rFonts w:ascii="Calibri" w:hAnsi="Calibri" w:cstheme="minorHAnsi"/>
      <w:b/>
      <w:bCs/>
      <w:szCs w:val="20"/>
    </w:rPr>
  </w:style>
  <w:style w:type="paragraph" w:styleId="TDC2">
    <w:name w:val="toc 2"/>
    <w:basedOn w:val="TDC1"/>
    <w:next w:val="Normal"/>
    <w:autoRedefine/>
    <w:uiPriority w:val="39"/>
    <w:rsid w:val="00544AEB"/>
    <w:pPr>
      <w:spacing w:before="0" w:after="0"/>
    </w:pPr>
    <w:rPr>
      <w:b w:val="0"/>
      <w:bCs w:val="0"/>
      <w:caps/>
    </w:rPr>
  </w:style>
  <w:style w:type="character" w:styleId="Hipervnculo">
    <w:name w:val="Hyperlink"/>
    <w:basedOn w:val="Fuentedeprrafopredeter"/>
    <w:uiPriority w:val="99"/>
    <w:rPr>
      <w:rFonts w:ascii="Tahoma" w:hAnsi="Tahoma"/>
      <w:b/>
      <w:caps/>
      <w:dstrike w:val="0"/>
      <w:color w:val="auto"/>
      <w:sz w:val="20"/>
      <w:u w:val="single"/>
      <w:vertAlign w:val="baseline"/>
    </w:rPr>
  </w:style>
  <w:style w:type="paragraph" w:styleId="TDC3">
    <w:name w:val="toc 3"/>
    <w:basedOn w:val="TDC2"/>
    <w:next w:val="Normal"/>
    <w:autoRedefine/>
    <w:uiPriority w:val="39"/>
    <w:rsid w:val="00306226"/>
    <w:rPr>
      <w:iCs/>
    </w:rPr>
  </w:style>
  <w:style w:type="character" w:styleId="Hipervnculovisitado">
    <w:name w:val="FollowedHyperlink"/>
    <w:basedOn w:val="Fuentedeprrafopredeter"/>
    <w:semiHidden/>
    <w:rPr>
      <w:rFonts w:ascii="Tahoma" w:hAnsi="Tahoma"/>
      <w:color w:val="008080"/>
      <w:sz w:val="20"/>
      <w:u w:val="none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  <w:rPr>
      <w:sz w:val="16"/>
    </w:rPr>
  </w:style>
  <w:style w:type="paragraph" w:styleId="Sangradetextonormal">
    <w:name w:val="Body Text Indent"/>
    <w:basedOn w:val="Normal"/>
    <w:semiHidden/>
    <w:pPr>
      <w:ind w:left="110"/>
    </w:pPr>
    <w:rPr>
      <w:rFonts w:cs="Tahoma"/>
      <w:b/>
      <w:bCs/>
      <w:color w:val="FFFFFF"/>
    </w:rPr>
  </w:style>
  <w:style w:type="paragraph" w:styleId="TDC4">
    <w:name w:val="toc 4"/>
    <w:basedOn w:val="Normal"/>
    <w:next w:val="Normal"/>
    <w:autoRedefine/>
    <w:uiPriority w:val="39"/>
    <w:rsid w:val="00306226"/>
    <w:rPr>
      <w:rFonts w:asciiTheme="minorHAnsi" w:hAnsiTheme="minorHAnsi" w:cstheme="minorHAnsi"/>
      <w:caps/>
      <w:sz w:val="18"/>
      <w:szCs w:val="18"/>
    </w:rPr>
  </w:style>
  <w:style w:type="paragraph" w:styleId="TDC5">
    <w:name w:val="toc 5"/>
    <w:basedOn w:val="Normal"/>
    <w:next w:val="Normal"/>
    <w:autoRedefine/>
    <w:uiPriority w:val="39"/>
    <w:rsid w:val="00306226"/>
    <w:rPr>
      <w:rFonts w:asciiTheme="minorHAnsi" w:hAnsiTheme="minorHAnsi" w:cstheme="minorHAnsi"/>
      <w:caps/>
      <w:sz w:val="18"/>
      <w:szCs w:val="18"/>
    </w:rPr>
  </w:style>
  <w:style w:type="paragraph" w:styleId="TDC6">
    <w:name w:val="toc 6"/>
    <w:basedOn w:val="Normal"/>
    <w:next w:val="Normal"/>
    <w:autoRedefine/>
    <w:uiPriority w:val="39"/>
    <w:rsid w:val="00306226"/>
    <w:rPr>
      <w:rFonts w:asciiTheme="minorHAnsi" w:hAnsiTheme="minorHAnsi" w:cstheme="minorHAnsi"/>
      <w:caps/>
      <w:sz w:val="18"/>
      <w:szCs w:val="18"/>
    </w:rPr>
  </w:style>
  <w:style w:type="paragraph" w:styleId="TDC7">
    <w:name w:val="toc 7"/>
    <w:basedOn w:val="Normal"/>
    <w:next w:val="Normal"/>
    <w:autoRedefine/>
    <w:semiHidden/>
    <w:pPr>
      <w:ind w:left="1200"/>
    </w:pPr>
    <w:rPr>
      <w:rFonts w:asciiTheme="minorHAnsi" w:hAnsiTheme="minorHAnsi" w:cstheme="minorHAnsi"/>
      <w:sz w:val="18"/>
      <w:szCs w:val="18"/>
    </w:rPr>
  </w:style>
  <w:style w:type="paragraph" w:styleId="TDC8">
    <w:name w:val="toc 8"/>
    <w:basedOn w:val="Normal"/>
    <w:next w:val="Normal"/>
    <w:autoRedefine/>
    <w:semiHidden/>
    <w:pPr>
      <w:ind w:left="1400"/>
    </w:pPr>
    <w:rPr>
      <w:rFonts w:asciiTheme="minorHAnsi" w:hAnsiTheme="minorHAnsi" w:cstheme="minorHAnsi"/>
      <w:sz w:val="18"/>
      <w:szCs w:val="18"/>
    </w:rPr>
  </w:style>
  <w:style w:type="paragraph" w:styleId="TDC9">
    <w:name w:val="toc 9"/>
    <w:basedOn w:val="Normal"/>
    <w:next w:val="Normal"/>
    <w:autoRedefine/>
    <w:semiHidden/>
    <w:pPr>
      <w:ind w:left="1600"/>
    </w:pPr>
    <w:rPr>
      <w:rFonts w:asciiTheme="minorHAnsi" w:hAnsiTheme="minorHAnsi" w:cstheme="minorHAnsi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71CDB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1CD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7189B"/>
    <w:pPr>
      <w:spacing w:before="100" w:beforeAutospacing="1" w:after="100" w:afterAutospacing="1"/>
    </w:pPr>
    <w:rPr>
      <w:rFonts w:ascii="Times New Roman" w:eastAsiaTheme="minorEastAsia" w:hAnsi="Times New Roman"/>
      <w:sz w:val="24"/>
    </w:rPr>
  </w:style>
  <w:style w:type="paragraph" w:styleId="Sinespaciado">
    <w:name w:val="No Spacing"/>
    <w:aliases w:val="TÍTULOS ENCABEZADO"/>
    <w:link w:val="SinespaciadoCar"/>
    <w:uiPriority w:val="1"/>
    <w:rsid w:val="00483B56"/>
    <w:rPr>
      <w:rFonts w:asciiTheme="minorHAnsi" w:eastAsiaTheme="minorEastAsia" w:hAnsiTheme="minorHAnsi" w:cstheme="minorBidi"/>
      <w:sz w:val="22"/>
      <w:szCs w:val="22"/>
    </w:rPr>
  </w:style>
  <w:style w:type="character" w:customStyle="1" w:styleId="SinespaciadoCar">
    <w:name w:val="Sin espaciado Car"/>
    <w:aliases w:val="TÍTULOS ENCABEZADO Car"/>
    <w:basedOn w:val="Fuentedeprrafopredeter"/>
    <w:link w:val="Sinespaciado"/>
    <w:uiPriority w:val="1"/>
    <w:rsid w:val="00483B56"/>
    <w:rPr>
      <w:rFonts w:asciiTheme="minorHAnsi" w:eastAsiaTheme="minorEastAsia" w:hAnsiTheme="minorHAnsi" w:cstheme="minorBidi"/>
      <w:sz w:val="22"/>
      <w:szCs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483B56"/>
    <w:rPr>
      <w:rFonts w:ascii="Tahoma" w:hAnsi="Tahoma"/>
      <w:szCs w:val="24"/>
    </w:rPr>
  </w:style>
  <w:style w:type="paragraph" w:styleId="Ttulo">
    <w:name w:val="Title"/>
    <w:basedOn w:val="Normal"/>
    <w:next w:val="Normal"/>
    <w:link w:val="TtuloCar"/>
    <w:rsid w:val="00996F49"/>
    <w:pPr>
      <w:keepNext/>
      <w:keepLines/>
      <w:spacing w:after="60" w:line="276" w:lineRule="auto"/>
    </w:pPr>
    <w:rPr>
      <w:rFonts w:ascii="Calibri" w:eastAsia="Arial" w:hAnsi="Calibri" w:cs="Arial"/>
      <w:color w:val="000000"/>
      <w:sz w:val="52"/>
      <w:szCs w:val="52"/>
    </w:rPr>
  </w:style>
  <w:style w:type="character" w:customStyle="1" w:styleId="TtuloCar">
    <w:name w:val="Título Car"/>
    <w:basedOn w:val="Fuentedeprrafopredeter"/>
    <w:link w:val="Ttulo"/>
    <w:rsid w:val="00996F49"/>
    <w:rPr>
      <w:rFonts w:ascii="Calibri" w:eastAsia="Arial" w:hAnsi="Calibri" w:cs="Arial"/>
      <w:color w:val="000000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rsid w:val="004E675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4E675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nfasissutil">
    <w:name w:val="Subtle Emphasis"/>
    <w:basedOn w:val="Fuentedeprrafopredeter"/>
    <w:uiPriority w:val="19"/>
    <w:rsid w:val="004E6759"/>
    <w:rPr>
      <w:i/>
      <w:iCs/>
      <w:color w:val="404040" w:themeColor="text1" w:themeTint="BF"/>
    </w:rPr>
  </w:style>
  <w:style w:type="character" w:styleId="nfasis">
    <w:name w:val="Emphasis"/>
    <w:basedOn w:val="Fuentedeprrafopredeter"/>
    <w:uiPriority w:val="20"/>
    <w:rsid w:val="004E6759"/>
    <w:rPr>
      <w:i/>
      <w:iCs/>
    </w:rPr>
  </w:style>
  <w:style w:type="character" w:styleId="nfasisintenso">
    <w:name w:val="Intense Emphasis"/>
    <w:basedOn w:val="Fuentedeprrafopredeter"/>
    <w:uiPriority w:val="21"/>
    <w:rsid w:val="004E6759"/>
    <w:rPr>
      <w:i/>
      <w:iCs/>
      <w:color w:val="4F81BD" w:themeColor="accent1"/>
    </w:rPr>
  </w:style>
  <w:style w:type="character" w:styleId="Textoennegrita">
    <w:name w:val="Strong"/>
    <w:basedOn w:val="Fuentedeprrafopredeter"/>
    <w:uiPriority w:val="22"/>
    <w:rsid w:val="004E6759"/>
    <w:rPr>
      <w:b/>
      <w:bCs/>
    </w:rPr>
  </w:style>
  <w:style w:type="paragraph" w:styleId="Cita">
    <w:name w:val="Quote"/>
    <w:basedOn w:val="Normal"/>
    <w:next w:val="Normal"/>
    <w:link w:val="CitaCar"/>
    <w:uiPriority w:val="29"/>
    <w:rsid w:val="004E675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E6759"/>
    <w:rPr>
      <w:rFonts w:ascii="Tahoma" w:hAnsi="Tahoma"/>
      <w:i/>
      <w:iCs/>
      <w:color w:val="404040" w:themeColor="text1" w:themeTint="BF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rsid w:val="004E6759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6759"/>
    <w:rPr>
      <w:rFonts w:ascii="Tahoma" w:hAnsi="Tahoma"/>
      <w:i/>
      <w:iCs/>
      <w:color w:val="4F81BD" w:themeColor="accent1"/>
      <w:szCs w:val="24"/>
    </w:rPr>
  </w:style>
  <w:style w:type="character" w:styleId="Referenciasutil">
    <w:name w:val="Subtle Reference"/>
    <w:basedOn w:val="Fuentedeprrafopredeter"/>
    <w:uiPriority w:val="31"/>
    <w:rsid w:val="004E6759"/>
    <w:rPr>
      <w:smallCaps/>
      <w:color w:val="5A5A5A" w:themeColor="text1" w:themeTint="A5"/>
    </w:rPr>
  </w:style>
  <w:style w:type="character" w:styleId="Referenciaintensa">
    <w:name w:val="Intense Reference"/>
    <w:basedOn w:val="Fuentedeprrafopredeter"/>
    <w:uiPriority w:val="32"/>
    <w:rsid w:val="004E6759"/>
    <w:rPr>
      <w:b/>
      <w:bCs/>
      <w:smallCaps/>
      <w:color w:val="4F81BD" w:themeColor="accent1"/>
      <w:spacing w:val="5"/>
    </w:rPr>
  </w:style>
  <w:style w:type="character" w:styleId="Ttulodellibro">
    <w:name w:val="Book Title"/>
    <w:basedOn w:val="Fuentedeprrafopredeter"/>
    <w:uiPriority w:val="33"/>
    <w:rsid w:val="004E6759"/>
    <w:rPr>
      <w:b/>
      <w:bCs/>
      <w:i/>
      <w:iCs/>
      <w:spacing w:val="5"/>
    </w:rPr>
  </w:style>
  <w:style w:type="paragraph" w:styleId="Prrafodelista">
    <w:name w:val="List Paragraph"/>
    <w:basedOn w:val="Normal"/>
    <w:uiPriority w:val="34"/>
    <w:rsid w:val="004E6759"/>
    <w:pPr>
      <w:ind w:left="720"/>
      <w:contextualSpacing/>
    </w:pPr>
  </w:style>
  <w:style w:type="paragraph" w:customStyle="1" w:styleId="TEXTO">
    <w:name w:val="TEXTO"/>
    <w:basedOn w:val="Ttulo7"/>
    <w:link w:val="TEXTOCar"/>
    <w:qFormat/>
    <w:rsid w:val="00EA3C56"/>
    <w:pPr>
      <w:keepNext/>
      <w:keepLines/>
      <w:numPr>
        <w:ilvl w:val="0"/>
        <w:numId w:val="0"/>
      </w:numPr>
      <w:spacing w:before="200" w:after="0" w:line="276" w:lineRule="auto"/>
      <w:jc w:val="left"/>
    </w:pPr>
    <w:rPr>
      <w:rFonts w:ascii="Calibri" w:hAnsi="Calibri" w:cs="Calibri"/>
      <w:i w:val="0"/>
      <w:iCs/>
      <w:color w:val="000000"/>
      <w:sz w:val="24"/>
      <w:szCs w:val="22"/>
    </w:rPr>
  </w:style>
  <w:style w:type="character" w:customStyle="1" w:styleId="TEXTOCar">
    <w:name w:val="TEXTO Car"/>
    <w:link w:val="TEXTO"/>
    <w:rsid w:val="00EA3C56"/>
    <w:rPr>
      <w:rFonts w:ascii="Calibri" w:hAnsi="Calibri" w:cs="Calibri"/>
      <w:iCs/>
      <w:color w:val="000000"/>
      <w:sz w:val="24"/>
      <w:szCs w:val="22"/>
    </w:rPr>
  </w:style>
  <w:style w:type="paragraph" w:styleId="TtuloTDC">
    <w:name w:val="TOC Heading"/>
    <w:basedOn w:val="Ttulo1"/>
    <w:next w:val="Normal"/>
    <w:uiPriority w:val="39"/>
    <w:unhideWhenUsed/>
    <w:qFormat/>
    <w:rsid w:val="00C37B84"/>
    <w:pPr>
      <w:keepLines/>
      <w:numPr>
        <w:numId w:val="0"/>
      </w:numPr>
      <w:pBdr>
        <w:bottom w:val="none" w:sz="0" w:space="0" w:color="auto"/>
      </w:pBd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04375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04375A"/>
    <w:rPr>
      <w:rFonts w:ascii="Tahoma" w:hAnsi="Tahoma"/>
    </w:rPr>
  </w:style>
  <w:style w:type="character" w:styleId="Refdenotaalfinal">
    <w:name w:val="endnote reference"/>
    <w:basedOn w:val="Fuentedeprrafopredeter"/>
    <w:uiPriority w:val="99"/>
    <w:semiHidden/>
    <w:unhideWhenUsed/>
    <w:rsid w:val="0004375A"/>
    <w:rPr>
      <w:vertAlign w:val="superscript"/>
    </w:rPr>
  </w:style>
  <w:style w:type="character" w:styleId="Refdenotaalpie">
    <w:name w:val="footnote reference"/>
    <w:semiHidden/>
    <w:rsid w:val="0004375A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4375A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4375A"/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7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624b81-7577-465c-bcec-198eeb75858d">
      <Terms xmlns="http://schemas.microsoft.com/office/infopath/2007/PartnerControls"/>
    </lcf76f155ced4ddcb4097134ff3c332f>
    <SharedWithUsers xmlns="77d9efc7-4b6d-48e4-933f-e25ebe03165a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C_x00f3_digo xmlns="d2624b81-7577-465c-bcec-198eeb75858d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CA1598943BCFB409F7228343B23971B" ma:contentTypeVersion="17" ma:contentTypeDescription="Crear nuevo documento." ma:contentTypeScope="" ma:versionID="1683c6be9702ad083e6d934e8efc26bd">
  <xsd:schema xmlns:xsd="http://www.w3.org/2001/XMLSchema" xmlns:xs="http://www.w3.org/2001/XMLSchema" xmlns:p="http://schemas.microsoft.com/office/2006/metadata/properties" xmlns:ns1="http://schemas.microsoft.com/sharepoint/v3" xmlns:ns2="d2624b81-7577-465c-bcec-198eeb75858d" xmlns:ns3="77d9efc7-4b6d-48e4-933f-e25ebe03165a" targetNamespace="http://schemas.microsoft.com/office/2006/metadata/properties" ma:root="true" ma:fieldsID="112d2358aa91b99181381606d6fb9f64" ns1:_="" ns2:_="" ns3:_="">
    <xsd:import namespace="http://schemas.microsoft.com/sharepoint/v3"/>
    <xsd:import namespace="d2624b81-7577-465c-bcec-198eeb75858d"/>
    <xsd:import namespace="77d9efc7-4b6d-48e4-933f-e25ebe03165a"/>
    <xsd:element name="properties">
      <xsd:complexType>
        <xsd:sequence>
          <xsd:element name="documentManagement">
            <xsd:complexType>
              <xsd:all>
                <xsd:element ref="ns2:C_x00f3_digo" minOccurs="0"/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Propiedades de la Directiva de cumplimiento unificado" ma:hidden="true" ma:internalName="_ip_UnifiedCompliancePolicyProperties" ma:readOnly="false">
      <xsd:simpleType>
        <xsd:restriction base="dms:Note"/>
      </xsd:simpleType>
    </xsd:element>
    <xsd:element name="_ip_UnifiedCompliancePolicyUIAction" ma:index="11" nillable="true" ma:displayName="Acción de IU de la Directiva de cumplimiento unificado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624b81-7577-465c-bcec-198eeb75858d" elementFormDefault="qualified">
    <xsd:import namespace="http://schemas.microsoft.com/office/2006/documentManagement/types"/>
    <xsd:import namespace="http://schemas.microsoft.com/office/infopath/2007/PartnerControls"/>
    <xsd:element name="C_x00f3_digo" ma:index="2" nillable="true" ma:displayName="Código" ma:format="Dropdown" ma:internalName="C_x00f3_digo" ma:readOnly="false">
      <xsd:simpleType>
        <xsd:restriction base="dms:Text">
          <xsd:maxLength value="255"/>
        </xsd:restriction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f929c8c-d1e6-42eb-943b-5678d94fd78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9efc7-4b6d-48e4-933f-e25ebe03165a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Compartido con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1A59E2-5C07-4A1D-8D5D-736911589F46}">
  <ds:schemaRefs>
    <ds:schemaRef ds:uri="http://schemas.microsoft.com/office/2006/metadata/properties"/>
    <ds:schemaRef ds:uri="http://schemas.microsoft.com/office/infopath/2007/PartnerControls"/>
    <ds:schemaRef ds:uri="9aadac1c-d008-4a38-bcb7-298f5e8378af"/>
    <ds:schemaRef ds:uri="d8d19e1c-d2d1-465d-9f43-35f9f28a3da4"/>
  </ds:schemaRefs>
</ds:datastoreItem>
</file>

<file path=customXml/itemProps2.xml><?xml version="1.0" encoding="utf-8"?>
<ds:datastoreItem xmlns:ds="http://schemas.openxmlformats.org/officeDocument/2006/customXml" ds:itemID="{B0E37C82-DEB3-4486-84B6-88372657A24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B3A7BD8-7767-4124-8AF8-E5CB4C5E05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CEDC93-C280-4A5A-A193-A60B8A7B2BE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1951</Words>
  <Characters>10732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Recuerda establecer la clasificación de la información</vt:lpstr>
    </vt:vector>
  </TitlesOfParts>
  <Company>Rural Servicios Informáticos</Company>
  <LinksUpToDate>false</LinksUpToDate>
  <CharactersWithSpaces>12658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Recuerda establecer la clasificación de la información</dc:title>
  <dc:subject/>
  <dc:creator>Mónica Jiménez Arias</dc:creator>
  <cp:keywords/>
  <dc:description/>
  <cp:lastModifiedBy>Mónica Jiménez Arias</cp:lastModifiedBy>
  <cp:revision>24</cp:revision>
  <cp:lastPrinted>2025-05-19T13:59:00Z</cp:lastPrinted>
  <dcterms:created xsi:type="dcterms:W3CDTF">2023-05-17T11:57:00Z</dcterms:created>
  <dcterms:modified xsi:type="dcterms:W3CDTF">2025-05-19T13:59:00Z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0x0101003CA1598943BCFB409F7228343B23971B</vt:lpwstr>
  </property>
  <property fmtid="{D5CDD505-2E9C-101B-9397-08002B2CF9AE}" pid="3" name="MediaServiceImageTags">
    <vt:lpwstr/>
  </property>
  <property fmtid="{D5CDD505-2E9C-101B-9397-08002B2CF9AE}" pid="4" name="Order">
    <vt:r8>2608300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MSIP_Label_4039accd-c3d2-40a5-85d8-b71ef4a9d605_Enabled">
    <vt:lpwstr>true</vt:lpwstr>
  </property>
  <property fmtid="{D5CDD505-2E9C-101B-9397-08002B2CF9AE}" pid="12" name="MSIP_Label_4039accd-c3d2-40a5-85d8-b71ef4a9d605_SetDate">
    <vt:lpwstr>2025-03-26T20:48:40Z</vt:lpwstr>
  </property>
  <property fmtid="{D5CDD505-2E9C-101B-9397-08002B2CF9AE}" pid="13" name="MSIP_Label_4039accd-c3d2-40a5-85d8-b71ef4a9d605_Method">
    <vt:lpwstr>Standard</vt:lpwstr>
  </property>
  <property fmtid="{D5CDD505-2E9C-101B-9397-08002B2CF9AE}" pid="14" name="MSIP_Label_4039accd-c3d2-40a5-85d8-b71ef4a9d605_Name">
    <vt:lpwstr>Uso Interno</vt:lpwstr>
  </property>
  <property fmtid="{D5CDD505-2E9C-101B-9397-08002B2CF9AE}" pid="15" name="MSIP_Label_4039accd-c3d2-40a5-85d8-b71ef4a9d605_SiteId">
    <vt:lpwstr>c0f01b1d-b797-4275-a0bb-59e075b04b4f</vt:lpwstr>
  </property>
  <property fmtid="{D5CDD505-2E9C-101B-9397-08002B2CF9AE}" pid="16" name="MSIP_Label_4039accd-c3d2-40a5-85d8-b71ef4a9d605_ActionId">
    <vt:lpwstr>a76a3d46-1470-4e9b-b0e9-baf56455de53</vt:lpwstr>
  </property>
  <property fmtid="{D5CDD505-2E9C-101B-9397-08002B2CF9AE}" pid="17" name="MSIP_Label_4039accd-c3d2-40a5-85d8-b71ef4a9d605_ContentBits">
    <vt:lpwstr>0</vt:lpwstr>
  </property>
  <property fmtid="{D5CDD505-2E9C-101B-9397-08002B2CF9AE}" pid="18" name="MSIP_Label_4039accd-c3d2-40a5-85d8-b71ef4a9d605_Tag">
    <vt:lpwstr>10, 3, 0, 1</vt:lpwstr>
  </property>
</Properties>
</file>